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3C" w:rsidRPr="00AA3A71" w:rsidRDefault="00AA3A71" w:rsidP="00AA3A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3A71">
        <w:rPr>
          <w:rFonts w:ascii="Arial" w:hAnsi="Arial" w:cs="Arial"/>
          <w:b/>
          <w:bCs/>
          <w:sz w:val="24"/>
          <w:szCs w:val="24"/>
        </w:rPr>
        <w:t>JULGAMENTO DE RECURSOS</w:t>
      </w:r>
    </w:p>
    <w:p w:rsidR="00AA3A71" w:rsidRDefault="00AA3A71" w:rsidP="00AA3A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3A71" w:rsidRPr="00AA3A71" w:rsidRDefault="00AA3A71" w:rsidP="00AA3A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2B0B" w:rsidRPr="00AA3A71" w:rsidRDefault="00EB2B0B" w:rsidP="00AA3A71">
      <w:pPr>
        <w:pStyle w:val="Ttulo8"/>
        <w:spacing w:before="0" w:after="0" w:line="240" w:lineRule="auto"/>
        <w:rPr>
          <w:rFonts w:ascii="Arial" w:hAnsi="Arial" w:cs="Arial"/>
          <w:b/>
          <w:bCs/>
          <w:i w:val="0"/>
          <w:iCs w:val="0"/>
        </w:rPr>
      </w:pPr>
      <w:r w:rsidRPr="00AA3A71">
        <w:rPr>
          <w:rFonts w:ascii="Arial" w:hAnsi="Arial" w:cs="Arial"/>
          <w:b/>
          <w:bCs/>
          <w:i w:val="0"/>
          <w:iCs w:val="0"/>
        </w:rPr>
        <w:t>EDITAL DE CREDENCIAMENTO DE LEILOEIRO Nº 02/2021</w:t>
      </w:r>
    </w:p>
    <w:p w:rsidR="00EB2B0B" w:rsidRDefault="00EB2B0B" w:rsidP="00AA3A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3A71">
        <w:rPr>
          <w:rFonts w:ascii="Arial" w:hAnsi="Arial" w:cs="Arial"/>
          <w:b/>
          <w:bCs/>
          <w:sz w:val="24"/>
          <w:szCs w:val="24"/>
        </w:rPr>
        <w:t>PROCESSO ADMINISTRATIVO Nº 91/2021</w:t>
      </w:r>
    </w:p>
    <w:p w:rsidR="00AA3A71" w:rsidRDefault="00AA3A71" w:rsidP="00AA3A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3A71" w:rsidRPr="00AA3A71" w:rsidRDefault="00AA3A71" w:rsidP="00AA3A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2583C" w:rsidRPr="00AA3A71" w:rsidRDefault="0042583C" w:rsidP="00EB2B0B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AA3A71" w:rsidRPr="00AA3A71" w:rsidRDefault="00E901F7" w:rsidP="00D57858">
      <w:pPr>
        <w:pStyle w:val="PargrafodaLista"/>
        <w:spacing w:after="0" w:line="36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SALETE DE SOUZA. GUILHERME ALBERTI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 ILCEMAR SCAPINELLO </w:t>
      </w:r>
      <w:r w:rsidR="00AA3A71" w:rsidRPr="00AA3A71">
        <w:rPr>
          <w:rFonts w:ascii="Arial" w:hAnsi="Arial" w:cs="Arial"/>
          <w:sz w:val="24"/>
          <w:szCs w:val="24"/>
        </w:rPr>
        <w:t xml:space="preserve"> reuniram-se em </w:t>
      </w:r>
      <w:r>
        <w:rPr>
          <w:rFonts w:ascii="Arial" w:hAnsi="Arial" w:cs="Arial"/>
          <w:sz w:val="24"/>
          <w:szCs w:val="24"/>
        </w:rPr>
        <w:t>07/10/2021</w:t>
      </w:r>
      <w:r w:rsidR="00AA3A71" w:rsidRPr="00AA3A71">
        <w:rPr>
          <w:rFonts w:ascii="Arial" w:hAnsi="Arial" w:cs="Arial"/>
          <w:sz w:val="24"/>
          <w:szCs w:val="24"/>
        </w:rPr>
        <w:t>, na sede da Prefeitura de Monte Carlo/SC, para deliberarem acerca dos recursos apresentados na presente licitação.</w:t>
      </w:r>
    </w:p>
    <w:p w:rsidR="00AA3A71" w:rsidRPr="00AA3A71" w:rsidRDefault="00AA3A71" w:rsidP="00EB2B0B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120EE1" w:rsidRDefault="003944A9" w:rsidP="00D57858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AA3A71">
        <w:rPr>
          <w:rFonts w:ascii="Arial" w:hAnsi="Arial" w:cs="Arial"/>
          <w:b/>
          <w:bCs/>
          <w:sz w:val="24"/>
          <w:szCs w:val="24"/>
        </w:rPr>
        <w:t xml:space="preserve">DO </w:t>
      </w:r>
      <w:r w:rsidR="0042583C" w:rsidRPr="00AA3A71">
        <w:rPr>
          <w:rFonts w:ascii="Arial" w:hAnsi="Arial" w:cs="Arial"/>
          <w:b/>
          <w:bCs/>
          <w:sz w:val="24"/>
          <w:szCs w:val="24"/>
        </w:rPr>
        <w:t>RELATÓRIO</w:t>
      </w:r>
    </w:p>
    <w:p w:rsidR="00D57858" w:rsidRPr="00AA3A71" w:rsidRDefault="00D57858" w:rsidP="00D57858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:rsidR="0042583C" w:rsidRPr="00AA3A71" w:rsidRDefault="0042583C" w:rsidP="00D57858">
      <w:pPr>
        <w:pStyle w:val="Ttulo8"/>
        <w:spacing w:before="0" w:after="0" w:line="360" w:lineRule="auto"/>
        <w:ind w:firstLine="708"/>
        <w:jc w:val="both"/>
        <w:rPr>
          <w:rFonts w:ascii="Arial" w:hAnsi="Arial" w:cs="Arial"/>
          <w:bCs/>
          <w:i w:val="0"/>
          <w:iCs w:val="0"/>
        </w:rPr>
      </w:pPr>
      <w:r w:rsidRPr="00AA3A71">
        <w:rPr>
          <w:rFonts w:ascii="Arial" w:hAnsi="Arial" w:cs="Arial"/>
          <w:i w:val="0"/>
          <w:iCs w:val="0"/>
        </w:rPr>
        <w:t xml:space="preserve">Trata-se de Impugnação apresentada em conjunto por </w:t>
      </w:r>
      <w:r w:rsidR="00F9622E" w:rsidRPr="00AA3A71">
        <w:rPr>
          <w:rFonts w:ascii="Arial" w:hAnsi="Arial" w:cs="Arial"/>
          <w:i w:val="0"/>
          <w:iCs w:val="0"/>
        </w:rPr>
        <w:t>11</w:t>
      </w:r>
      <w:r w:rsidRPr="00AA3A71">
        <w:rPr>
          <w:rFonts w:ascii="Arial" w:hAnsi="Arial" w:cs="Arial"/>
          <w:i w:val="0"/>
          <w:iCs w:val="0"/>
        </w:rPr>
        <w:t>(</w:t>
      </w:r>
      <w:r w:rsidR="00F9622E" w:rsidRPr="00AA3A71">
        <w:rPr>
          <w:rFonts w:ascii="Arial" w:hAnsi="Arial" w:cs="Arial"/>
          <w:i w:val="0"/>
          <w:iCs w:val="0"/>
        </w:rPr>
        <w:t>onze</w:t>
      </w:r>
      <w:r w:rsidRPr="00AA3A71">
        <w:rPr>
          <w:rFonts w:ascii="Arial" w:hAnsi="Arial" w:cs="Arial"/>
          <w:i w:val="0"/>
          <w:iCs w:val="0"/>
        </w:rPr>
        <w:t xml:space="preserve">) leiloeiros (Paulo Roberto </w:t>
      </w:r>
      <w:proofErr w:type="spellStart"/>
      <w:r w:rsidRPr="00AA3A71">
        <w:rPr>
          <w:rFonts w:ascii="Arial" w:hAnsi="Arial" w:cs="Arial"/>
          <w:i w:val="0"/>
          <w:iCs w:val="0"/>
        </w:rPr>
        <w:t>Worm</w:t>
      </w:r>
      <w:proofErr w:type="spellEnd"/>
      <w:r w:rsidRPr="00AA3A71">
        <w:rPr>
          <w:rFonts w:ascii="Arial" w:hAnsi="Arial" w:cs="Arial"/>
          <w:i w:val="0"/>
          <w:iCs w:val="0"/>
        </w:rPr>
        <w:t xml:space="preserve">, Anderson </w:t>
      </w:r>
      <w:proofErr w:type="spellStart"/>
      <w:r w:rsidRPr="00AA3A71">
        <w:rPr>
          <w:rFonts w:ascii="Arial" w:hAnsi="Arial" w:cs="Arial"/>
          <w:i w:val="0"/>
          <w:iCs w:val="0"/>
        </w:rPr>
        <w:t>Luchtenberg</w:t>
      </w:r>
      <w:proofErr w:type="spellEnd"/>
      <w:r w:rsidRPr="00AA3A71">
        <w:rPr>
          <w:rFonts w:ascii="Arial" w:hAnsi="Arial" w:cs="Arial"/>
          <w:i w:val="0"/>
          <w:iCs w:val="0"/>
        </w:rPr>
        <w:t xml:space="preserve">, Marcus Rogério </w:t>
      </w:r>
      <w:proofErr w:type="spellStart"/>
      <w:proofErr w:type="gramStart"/>
      <w:r w:rsidRPr="00AA3A71">
        <w:rPr>
          <w:rFonts w:ascii="Arial" w:hAnsi="Arial" w:cs="Arial"/>
          <w:i w:val="0"/>
          <w:iCs w:val="0"/>
        </w:rPr>
        <w:t>Araúj</w:t>
      </w:r>
      <w:r w:rsidR="00F9622E" w:rsidRPr="00AA3A71">
        <w:rPr>
          <w:rFonts w:ascii="Arial" w:hAnsi="Arial" w:cs="Arial"/>
          <w:i w:val="0"/>
          <w:iCs w:val="0"/>
        </w:rPr>
        <w:t>o</w:t>
      </w:r>
      <w:r w:rsidRPr="00AA3A71">
        <w:rPr>
          <w:rFonts w:ascii="Arial" w:hAnsi="Arial" w:cs="Arial"/>
          <w:i w:val="0"/>
          <w:iCs w:val="0"/>
        </w:rPr>
        <w:t>Samoel</w:t>
      </w:r>
      <w:proofErr w:type="spellEnd"/>
      <w:proofErr w:type="gramEnd"/>
      <w:r w:rsidRPr="00AA3A71">
        <w:rPr>
          <w:rFonts w:ascii="Arial" w:hAnsi="Arial" w:cs="Arial"/>
          <w:i w:val="0"/>
          <w:iCs w:val="0"/>
        </w:rPr>
        <w:t xml:space="preserve">, Roger </w:t>
      </w:r>
      <w:proofErr w:type="spellStart"/>
      <w:r w:rsidRPr="00AA3A71">
        <w:rPr>
          <w:rFonts w:ascii="Arial" w:hAnsi="Arial" w:cs="Arial"/>
          <w:i w:val="0"/>
          <w:iCs w:val="0"/>
        </w:rPr>
        <w:t>Wenning</w:t>
      </w:r>
      <w:proofErr w:type="spellEnd"/>
      <w:r w:rsidRPr="00AA3A71">
        <w:rPr>
          <w:rFonts w:ascii="Arial" w:hAnsi="Arial" w:cs="Arial"/>
          <w:i w:val="0"/>
          <w:iCs w:val="0"/>
        </w:rPr>
        <w:t xml:space="preserve">, </w:t>
      </w:r>
      <w:proofErr w:type="spellStart"/>
      <w:r w:rsidRPr="00AA3A71">
        <w:rPr>
          <w:rFonts w:ascii="Arial" w:hAnsi="Arial" w:cs="Arial"/>
          <w:i w:val="0"/>
          <w:iCs w:val="0"/>
        </w:rPr>
        <w:t>Diorgenes</w:t>
      </w:r>
      <w:proofErr w:type="spellEnd"/>
      <w:r w:rsidRPr="00AA3A71">
        <w:rPr>
          <w:rFonts w:ascii="Arial" w:hAnsi="Arial" w:cs="Arial"/>
          <w:i w:val="0"/>
          <w:iCs w:val="0"/>
        </w:rPr>
        <w:t xml:space="preserve"> Valério Jorge, </w:t>
      </w:r>
      <w:proofErr w:type="spellStart"/>
      <w:r w:rsidRPr="00AA3A71">
        <w:rPr>
          <w:rFonts w:ascii="Arial" w:hAnsi="Arial" w:cs="Arial"/>
          <w:i w:val="0"/>
          <w:iCs w:val="0"/>
        </w:rPr>
        <w:t>Aridina</w:t>
      </w:r>
      <w:proofErr w:type="spellEnd"/>
      <w:r w:rsidRPr="00AA3A71">
        <w:rPr>
          <w:rFonts w:ascii="Arial" w:hAnsi="Arial" w:cs="Arial"/>
          <w:i w:val="0"/>
          <w:iCs w:val="0"/>
        </w:rPr>
        <w:t xml:space="preserve"> Maria do Amaral, Osmar Sergio da Costa</w:t>
      </w:r>
      <w:r w:rsidR="00F9622E" w:rsidRPr="00AA3A71">
        <w:rPr>
          <w:rFonts w:ascii="Arial" w:hAnsi="Arial" w:cs="Arial"/>
          <w:i w:val="0"/>
          <w:iCs w:val="0"/>
        </w:rPr>
        <w:t xml:space="preserve">, </w:t>
      </w:r>
      <w:r w:rsidRPr="00AA3A71">
        <w:rPr>
          <w:rFonts w:ascii="Arial" w:hAnsi="Arial" w:cs="Arial"/>
          <w:i w:val="0"/>
          <w:iCs w:val="0"/>
        </w:rPr>
        <w:t xml:space="preserve">Michele Pacheco da Rosa </w:t>
      </w:r>
      <w:proofErr w:type="spellStart"/>
      <w:r w:rsidRPr="00AA3A71">
        <w:rPr>
          <w:rFonts w:ascii="Arial" w:hAnsi="Arial" w:cs="Arial"/>
          <w:i w:val="0"/>
          <w:iCs w:val="0"/>
        </w:rPr>
        <w:t>Sandor</w:t>
      </w:r>
      <w:proofErr w:type="spellEnd"/>
      <w:r w:rsidR="00F9622E" w:rsidRPr="00AA3A71">
        <w:rPr>
          <w:rFonts w:ascii="Arial" w:hAnsi="Arial" w:cs="Arial"/>
          <w:i w:val="0"/>
          <w:iCs w:val="0"/>
        </w:rPr>
        <w:t xml:space="preserve">, Julio Ramos Luz, </w:t>
      </w:r>
      <w:proofErr w:type="spellStart"/>
      <w:r w:rsidR="00F9622E" w:rsidRPr="00AA3A71">
        <w:rPr>
          <w:rFonts w:ascii="Arial" w:hAnsi="Arial" w:cs="Arial"/>
          <w:i w:val="0"/>
          <w:iCs w:val="0"/>
        </w:rPr>
        <w:t>Marileia</w:t>
      </w:r>
      <w:proofErr w:type="spellEnd"/>
      <w:r w:rsidR="00F9622E" w:rsidRPr="00AA3A71">
        <w:rPr>
          <w:rFonts w:ascii="Arial" w:hAnsi="Arial" w:cs="Arial"/>
          <w:i w:val="0"/>
          <w:iCs w:val="0"/>
        </w:rPr>
        <w:t xml:space="preserve"> </w:t>
      </w:r>
      <w:proofErr w:type="spellStart"/>
      <w:r w:rsidR="00F9622E" w:rsidRPr="00AA3A71">
        <w:rPr>
          <w:rFonts w:ascii="Arial" w:hAnsi="Arial" w:cs="Arial"/>
          <w:i w:val="0"/>
          <w:iCs w:val="0"/>
        </w:rPr>
        <w:t>May</w:t>
      </w:r>
      <w:proofErr w:type="spellEnd"/>
      <w:r w:rsidR="00F9622E" w:rsidRPr="00AA3A71">
        <w:rPr>
          <w:rFonts w:ascii="Arial" w:hAnsi="Arial" w:cs="Arial"/>
          <w:i w:val="0"/>
          <w:iCs w:val="0"/>
        </w:rPr>
        <w:t xml:space="preserve"> e Sabrina da Silva Pereira </w:t>
      </w:r>
      <w:proofErr w:type="spellStart"/>
      <w:r w:rsidR="00F9622E" w:rsidRPr="00AA3A71">
        <w:rPr>
          <w:rFonts w:ascii="Arial" w:hAnsi="Arial" w:cs="Arial"/>
          <w:i w:val="0"/>
          <w:iCs w:val="0"/>
        </w:rPr>
        <w:t>Eckerberg</w:t>
      </w:r>
      <w:proofErr w:type="spellEnd"/>
      <w:r w:rsidRPr="00AA3A71">
        <w:rPr>
          <w:rFonts w:ascii="Arial" w:hAnsi="Arial" w:cs="Arial"/>
          <w:i w:val="0"/>
          <w:iCs w:val="0"/>
        </w:rPr>
        <w:t>), participantes do EDITAL DE CREDENCIAMENTO DE LEILOEIRO Nº 02/2021 - PROCESSO ADMINISTRATIVO Nº 91/2021, cujo objeto é o Credenciamento de Leiloeiros Oficiais</w:t>
      </w:r>
      <w:r w:rsidR="00212CA6">
        <w:rPr>
          <w:rFonts w:ascii="Arial" w:hAnsi="Arial" w:cs="Arial"/>
          <w:i w:val="0"/>
          <w:iCs w:val="0"/>
        </w:rPr>
        <w:t xml:space="preserve"> </w:t>
      </w:r>
      <w:r w:rsidRPr="00AA3A71">
        <w:rPr>
          <w:rFonts w:ascii="Arial" w:hAnsi="Arial" w:cs="Arial"/>
          <w:bCs/>
          <w:i w:val="0"/>
          <w:iCs w:val="0"/>
        </w:rPr>
        <w:t>para a prestação dos serviços de alienação de bens móveis inservíveis de propriedade do Município de Monte Carlo</w:t>
      </w:r>
      <w:r w:rsidR="006E1715" w:rsidRPr="00AA3A71">
        <w:rPr>
          <w:rFonts w:ascii="Arial" w:hAnsi="Arial" w:cs="Arial"/>
          <w:bCs/>
          <w:i w:val="0"/>
          <w:iCs w:val="0"/>
        </w:rPr>
        <w:t>/SC</w:t>
      </w:r>
      <w:r w:rsidR="009E406F">
        <w:rPr>
          <w:rFonts w:ascii="Arial" w:hAnsi="Arial" w:cs="Arial"/>
          <w:bCs/>
          <w:i w:val="0"/>
          <w:iCs w:val="0"/>
        </w:rPr>
        <w:t>.</w:t>
      </w:r>
    </w:p>
    <w:p w:rsidR="006E1715" w:rsidRPr="00AA3A71" w:rsidRDefault="006E1715" w:rsidP="00C30C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4BF7" w:rsidRPr="00AA3A71" w:rsidRDefault="006E1715" w:rsidP="00D578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 xml:space="preserve">Em apertada síntese, os recorrentes </w:t>
      </w:r>
      <w:r w:rsidR="00F9622E" w:rsidRPr="00AA3A71">
        <w:rPr>
          <w:rFonts w:ascii="Arial" w:hAnsi="Arial" w:cs="Arial"/>
          <w:sz w:val="24"/>
          <w:szCs w:val="24"/>
        </w:rPr>
        <w:t>afirmam por vezes que o Município direciona o certame</w:t>
      </w:r>
      <w:r w:rsidR="00434BF7" w:rsidRPr="00AA3A71">
        <w:rPr>
          <w:rFonts w:ascii="Arial" w:hAnsi="Arial" w:cs="Arial"/>
          <w:sz w:val="24"/>
          <w:szCs w:val="24"/>
        </w:rPr>
        <w:t>, questionam decisões da Comissão de Licitação e refutam suas inabilitações</w:t>
      </w:r>
      <w:r w:rsidR="00F01491" w:rsidRPr="00AA3A71">
        <w:rPr>
          <w:rFonts w:ascii="Arial" w:hAnsi="Arial" w:cs="Arial"/>
          <w:sz w:val="24"/>
          <w:szCs w:val="24"/>
        </w:rPr>
        <w:t xml:space="preserve"> diante do fato de entregarem os seus envelopes em conjunto dentro de outro envelope/malote </w:t>
      </w:r>
      <w:r w:rsidR="00B37D2A" w:rsidRPr="00AA3A71">
        <w:rPr>
          <w:rFonts w:ascii="Arial" w:hAnsi="Arial" w:cs="Arial"/>
          <w:sz w:val="24"/>
          <w:szCs w:val="24"/>
        </w:rPr>
        <w:t>contendo os documentos de todos os recorrentes</w:t>
      </w:r>
      <w:r w:rsidR="00434BF7" w:rsidRPr="00AA3A71">
        <w:rPr>
          <w:rFonts w:ascii="Arial" w:hAnsi="Arial" w:cs="Arial"/>
          <w:sz w:val="24"/>
          <w:szCs w:val="24"/>
        </w:rPr>
        <w:t>.</w:t>
      </w:r>
    </w:p>
    <w:p w:rsidR="00C30C42" w:rsidRPr="00AA3A71" w:rsidRDefault="00C30C42" w:rsidP="00C30C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583C" w:rsidRDefault="00434BF7" w:rsidP="00D5785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>Importante salientar que a peça conjunta dos leiloeiros supra citados</w:t>
      </w:r>
      <w:r w:rsidR="00C30C42" w:rsidRPr="00AA3A71">
        <w:rPr>
          <w:rFonts w:ascii="Arial" w:hAnsi="Arial" w:cs="Arial"/>
          <w:sz w:val="24"/>
          <w:szCs w:val="24"/>
        </w:rPr>
        <w:t xml:space="preserve"> ataca o Edital de Credenciamento de Leiloeiro nº 01/2021 – Processo nº 48/2021, além de nomin</w:t>
      </w:r>
      <w:r w:rsidR="003944A9" w:rsidRPr="00AA3A71">
        <w:rPr>
          <w:rFonts w:ascii="Arial" w:hAnsi="Arial" w:cs="Arial"/>
          <w:sz w:val="24"/>
          <w:szCs w:val="24"/>
        </w:rPr>
        <w:t>á-la</w:t>
      </w:r>
      <w:r w:rsidR="00C30C42" w:rsidRPr="00AA3A71">
        <w:rPr>
          <w:rFonts w:ascii="Arial" w:hAnsi="Arial" w:cs="Arial"/>
          <w:sz w:val="24"/>
          <w:szCs w:val="24"/>
        </w:rPr>
        <w:t xml:space="preserve"> com</w:t>
      </w:r>
      <w:r w:rsidR="003944A9" w:rsidRPr="00AA3A71">
        <w:rPr>
          <w:rFonts w:ascii="Arial" w:hAnsi="Arial" w:cs="Arial"/>
          <w:sz w:val="24"/>
          <w:szCs w:val="24"/>
        </w:rPr>
        <w:t>o</w:t>
      </w:r>
      <w:r w:rsidR="00C30C42" w:rsidRPr="00AA3A71">
        <w:rPr>
          <w:rFonts w:ascii="Arial" w:hAnsi="Arial" w:cs="Arial"/>
          <w:sz w:val="24"/>
          <w:szCs w:val="24"/>
        </w:rPr>
        <w:t xml:space="preserve"> Impugnação. </w:t>
      </w:r>
      <w:r w:rsidR="00C30C42" w:rsidRPr="00AA3A71">
        <w:rPr>
          <w:rFonts w:ascii="Arial" w:hAnsi="Arial" w:cs="Arial"/>
          <w:b/>
          <w:bCs/>
          <w:sz w:val="24"/>
          <w:szCs w:val="24"/>
        </w:rPr>
        <w:t xml:space="preserve">Diante destes fatos, </w:t>
      </w:r>
      <w:r w:rsidR="00C30C42" w:rsidRPr="00AA3A71">
        <w:rPr>
          <w:rFonts w:ascii="Arial" w:hAnsi="Arial" w:cs="Arial"/>
          <w:b/>
          <w:bCs/>
          <w:sz w:val="24"/>
          <w:szCs w:val="24"/>
        </w:rPr>
        <w:lastRenderedPageBreak/>
        <w:t>esclarece queo Edital atacado fora anulado</w:t>
      </w:r>
      <w:r w:rsidR="003944A9" w:rsidRPr="00AA3A71">
        <w:rPr>
          <w:rFonts w:ascii="Arial" w:hAnsi="Arial" w:cs="Arial"/>
          <w:b/>
          <w:bCs/>
          <w:sz w:val="24"/>
          <w:szCs w:val="24"/>
        </w:rPr>
        <w:t xml:space="preserve"> anteriormente</w:t>
      </w:r>
      <w:r w:rsidR="00C30C42" w:rsidRPr="00AA3A71">
        <w:rPr>
          <w:rFonts w:ascii="Arial" w:hAnsi="Arial" w:cs="Arial"/>
          <w:b/>
          <w:bCs/>
          <w:sz w:val="24"/>
          <w:szCs w:val="24"/>
        </w:rPr>
        <w:t xml:space="preserve"> e o prazo de Impugnação está </w:t>
      </w:r>
      <w:r w:rsidR="003944A9" w:rsidRPr="00AA3A71">
        <w:rPr>
          <w:rFonts w:ascii="Arial" w:hAnsi="Arial" w:cs="Arial"/>
          <w:b/>
          <w:bCs/>
          <w:sz w:val="24"/>
          <w:szCs w:val="24"/>
        </w:rPr>
        <w:t>totalmente intempestivo.</w:t>
      </w:r>
    </w:p>
    <w:p w:rsidR="009E406F" w:rsidRDefault="009E406F" w:rsidP="00D5785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E406F" w:rsidRPr="009E406F" w:rsidRDefault="009E406F" w:rsidP="00D578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406F">
        <w:rPr>
          <w:rFonts w:ascii="Arial" w:hAnsi="Arial" w:cs="Arial"/>
          <w:sz w:val="24"/>
          <w:szCs w:val="24"/>
        </w:rPr>
        <w:t>Após abertura do prazo, não foram recepcionadas contrarrazões.</w:t>
      </w:r>
    </w:p>
    <w:p w:rsidR="003944A9" w:rsidRDefault="003944A9" w:rsidP="00C30C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44A9" w:rsidRPr="00AA3A71" w:rsidRDefault="003944A9" w:rsidP="00D57858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A3A71">
        <w:rPr>
          <w:rFonts w:ascii="Arial" w:hAnsi="Arial" w:cs="Arial"/>
          <w:b/>
          <w:bCs/>
          <w:sz w:val="24"/>
          <w:szCs w:val="24"/>
        </w:rPr>
        <w:t>DO PARECER</w:t>
      </w:r>
    </w:p>
    <w:p w:rsidR="003944A9" w:rsidRPr="00AA3A71" w:rsidRDefault="003944A9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B37D2A" w:rsidRPr="00AA3A71" w:rsidRDefault="003944A9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 xml:space="preserve">Inicialmente, cabe ressaltar que a peça apresentada </w:t>
      </w:r>
      <w:r w:rsidR="00B37D2A" w:rsidRPr="00AA3A71">
        <w:rPr>
          <w:rFonts w:ascii="Arial" w:hAnsi="Arial" w:cs="Arial"/>
          <w:sz w:val="24"/>
          <w:szCs w:val="24"/>
        </w:rPr>
        <w:t xml:space="preserve">é </w:t>
      </w:r>
      <w:r w:rsidRPr="00AA3A71">
        <w:rPr>
          <w:rFonts w:ascii="Arial" w:hAnsi="Arial" w:cs="Arial"/>
          <w:sz w:val="24"/>
          <w:szCs w:val="24"/>
        </w:rPr>
        <w:t>TOTALMENTE INTEMPESTIVA e ata</w:t>
      </w:r>
      <w:r w:rsidR="00B37D2A" w:rsidRPr="00AA3A71">
        <w:rPr>
          <w:rFonts w:ascii="Arial" w:hAnsi="Arial" w:cs="Arial"/>
          <w:sz w:val="24"/>
          <w:szCs w:val="24"/>
        </w:rPr>
        <w:t>ca</w:t>
      </w:r>
      <w:r w:rsidR="00F01491" w:rsidRPr="00AA3A71">
        <w:rPr>
          <w:rFonts w:ascii="Arial" w:hAnsi="Arial" w:cs="Arial"/>
          <w:sz w:val="24"/>
          <w:szCs w:val="24"/>
        </w:rPr>
        <w:t>CERTAME ANULADO</w:t>
      </w:r>
      <w:r w:rsidRPr="00AA3A71">
        <w:rPr>
          <w:rFonts w:ascii="Arial" w:hAnsi="Arial" w:cs="Arial"/>
          <w:sz w:val="24"/>
          <w:szCs w:val="24"/>
        </w:rPr>
        <w:t xml:space="preserve">, </w:t>
      </w:r>
      <w:r w:rsidR="00B37D2A" w:rsidRPr="00AA3A71">
        <w:rPr>
          <w:rFonts w:ascii="Arial" w:hAnsi="Arial" w:cs="Arial"/>
          <w:sz w:val="24"/>
          <w:szCs w:val="24"/>
        </w:rPr>
        <w:t>não merecendo apreciação. Vejamos os ensinamentos da Lei 8.666/93:</w:t>
      </w:r>
    </w:p>
    <w:p w:rsidR="00B37D2A" w:rsidRPr="00AA3A71" w:rsidRDefault="00B37D2A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7D2A" w:rsidRDefault="00B37D2A" w:rsidP="00D57858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A3A71">
        <w:rPr>
          <w:rFonts w:ascii="Arial" w:hAnsi="Arial" w:cs="Arial"/>
          <w:b/>
          <w:bCs/>
          <w:sz w:val="24"/>
          <w:szCs w:val="24"/>
          <w:shd w:val="clear" w:color="auto" w:fill="FFFFFF"/>
        </w:rPr>
        <w:t>“Art. 41.  A Administração não pode descumprir as normas e condições do edital, ao qual se acha estritamente vinculada.</w:t>
      </w:r>
    </w:p>
    <w:p w:rsidR="00B37D2A" w:rsidRPr="00AA3A71" w:rsidRDefault="00B37D2A" w:rsidP="00D57858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7D2A" w:rsidRPr="00AA3A71" w:rsidRDefault="00B37D2A" w:rsidP="00D57858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AA3A71">
        <w:rPr>
          <w:rFonts w:ascii="Arial" w:hAnsi="Arial" w:cs="Arial"/>
          <w:b/>
          <w:bCs/>
          <w:sz w:val="24"/>
          <w:szCs w:val="24"/>
          <w:shd w:val="clear" w:color="auto" w:fill="FFFFFF"/>
        </w:rPr>
        <w:t>§ 2</w:t>
      </w:r>
      <w:r w:rsidRPr="00AA3A71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vertAlign w:val="superscript"/>
        </w:rPr>
        <w:t>o</w:t>
      </w:r>
      <w:r w:rsidRPr="00AA3A71">
        <w:rPr>
          <w:rFonts w:ascii="Arial" w:hAnsi="Arial" w:cs="Arial"/>
          <w:b/>
          <w:bCs/>
          <w:sz w:val="24"/>
          <w:szCs w:val="24"/>
          <w:shd w:val="clear" w:color="auto" w:fill="FFFFFF"/>
        </w:rPr>
        <w:t>  Decairá</w:t>
      </w:r>
      <w:r w:rsidR="00212C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AA3A71">
        <w:rPr>
          <w:rFonts w:ascii="Arial" w:hAnsi="Arial" w:cs="Arial"/>
          <w:b/>
          <w:bCs/>
          <w:sz w:val="24"/>
          <w:szCs w:val="24"/>
          <w:shd w:val="clear" w:color="auto" w:fill="FFFFFF"/>
        </w:rPr>
        <w:t>do direito de impugnar os termos do edital de licitação perante a administração o licitante que não o fizer até o segundo dia útil que anteceder a abertura dos envelopes de habilitação em concorrência, a abertura dos envelopes com as propostas em convite, tomada de preços ou concurso, ou a realização de leilão, as falhas ou irregularidades que viciariam esse edital, hipótese em que tal comunicação não terá efeito de recurso”</w:t>
      </w:r>
      <w:proofErr w:type="gramEnd"/>
    </w:p>
    <w:p w:rsidR="00B37D2A" w:rsidRPr="00AA3A71" w:rsidRDefault="00B37D2A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944A9" w:rsidRPr="00AA3A71" w:rsidRDefault="00B37D2A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>Mesmo o recurso sendo intempestivo</w:t>
      </w:r>
      <w:r w:rsidR="0099121E" w:rsidRPr="00AA3A71">
        <w:rPr>
          <w:rFonts w:ascii="Arial" w:hAnsi="Arial" w:cs="Arial"/>
          <w:sz w:val="24"/>
          <w:szCs w:val="24"/>
        </w:rPr>
        <w:t xml:space="preserve"> e atacando certame anulado, </w:t>
      </w:r>
      <w:r w:rsidR="00F01491" w:rsidRPr="00AA3A71">
        <w:rPr>
          <w:rFonts w:ascii="Arial" w:hAnsi="Arial" w:cs="Arial"/>
          <w:sz w:val="24"/>
          <w:szCs w:val="24"/>
        </w:rPr>
        <w:t>desejando</w:t>
      </w:r>
      <w:r w:rsidR="003944A9" w:rsidRPr="00AA3A71">
        <w:rPr>
          <w:rFonts w:ascii="Arial" w:hAnsi="Arial" w:cs="Arial"/>
          <w:sz w:val="24"/>
          <w:szCs w:val="24"/>
        </w:rPr>
        <w:t xml:space="preserve"> demonstrar a boa-fé, </w:t>
      </w:r>
      <w:r w:rsidR="00F01491" w:rsidRPr="00AA3A71">
        <w:rPr>
          <w:rFonts w:ascii="Arial" w:hAnsi="Arial" w:cs="Arial"/>
          <w:sz w:val="24"/>
          <w:szCs w:val="24"/>
        </w:rPr>
        <w:t>esta Comissão opta em</w:t>
      </w:r>
      <w:r w:rsidR="0099121E" w:rsidRPr="00AA3A71">
        <w:rPr>
          <w:rFonts w:ascii="Arial" w:hAnsi="Arial" w:cs="Arial"/>
          <w:sz w:val="24"/>
          <w:szCs w:val="24"/>
        </w:rPr>
        <w:t xml:space="preserve"> adentrar o seu mérito</w:t>
      </w:r>
      <w:r w:rsidR="00F01491" w:rsidRPr="00AA3A71">
        <w:rPr>
          <w:rFonts w:ascii="Arial" w:hAnsi="Arial" w:cs="Arial"/>
          <w:sz w:val="24"/>
          <w:szCs w:val="24"/>
        </w:rPr>
        <w:t xml:space="preserve"> exara</w:t>
      </w:r>
      <w:r w:rsidR="0099121E" w:rsidRPr="00AA3A71">
        <w:rPr>
          <w:rFonts w:ascii="Arial" w:hAnsi="Arial" w:cs="Arial"/>
          <w:sz w:val="24"/>
          <w:szCs w:val="24"/>
        </w:rPr>
        <w:t>ndo</w:t>
      </w:r>
      <w:r w:rsidR="00F01491" w:rsidRPr="00AA3A71">
        <w:rPr>
          <w:rFonts w:ascii="Arial" w:hAnsi="Arial" w:cs="Arial"/>
          <w:sz w:val="24"/>
          <w:szCs w:val="24"/>
        </w:rPr>
        <w:t xml:space="preserve"> o seu entendimento</w:t>
      </w:r>
      <w:r w:rsidR="0099121E" w:rsidRPr="00AA3A71">
        <w:rPr>
          <w:rFonts w:ascii="Arial" w:hAnsi="Arial" w:cs="Arial"/>
          <w:sz w:val="24"/>
          <w:szCs w:val="24"/>
        </w:rPr>
        <w:t>:</w:t>
      </w:r>
    </w:p>
    <w:p w:rsidR="0099121E" w:rsidRPr="00AA3A71" w:rsidRDefault="0099121E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9121E" w:rsidRDefault="0099121E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 xml:space="preserve">O Prejulgado 614 do Tribunal de Contas do Estado de Santa Catarina assim determina: </w:t>
      </w:r>
    </w:p>
    <w:p w:rsidR="00D57858" w:rsidRPr="00AA3A71" w:rsidRDefault="00D57858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9121E" w:rsidRPr="00AA3A71" w:rsidRDefault="0099121E" w:rsidP="00D57858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AA3A71">
        <w:rPr>
          <w:rFonts w:ascii="Arial" w:hAnsi="Arial" w:cs="Arial"/>
          <w:b/>
          <w:bCs/>
          <w:sz w:val="24"/>
          <w:szCs w:val="24"/>
        </w:rPr>
        <w:t xml:space="preserve">“2. A contratação de leiloeiro oficial, PARA </w:t>
      </w:r>
      <w:r w:rsidRPr="00AA3A71">
        <w:rPr>
          <w:rFonts w:ascii="Arial" w:hAnsi="Arial" w:cs="Arial"/>
          <w:b/>
          <w:bCs/>
          <w:sz w:val="24"/>
          <w:szCs w:val="24"/>
          <w:u w:val="single"/>
        </w:rPr>
        <w:t>PROMOVER LEILÃO DE BENS DA ADMINISTRAÇÃO PÚBLICA</w:t>
      </w:r>
      <w:r w:rsidRPr="00AA3A71">
        <w:rPr>
          <w:rFonts w:ascii="Arial" w:hAnsi="Arial" w:cs="Arial"/>
          <w:b/>
          <w:bCs/>
          <w:sz w:val="24"/>
          <w:szCs w:val="24"/>
        </w:rPr>
        <w:t xml:space="preserve"> direta e indireta prestadora de serviço público ou cujo patrimônio público tenha sido destinado a atender a objetivo de interesse público relevante, deve obedecer a regra do art. 37, XXI da CRFB e a referida contratação deverá ser </w:t>
      </w:r>
      <w:r w:rsidRPr="00AA3A71">
        <w:rPr>
          <w:rFonts w:ascii="Arial" w:hAnsi="Arial" w:cs="Arial"/>
          <w:b/>
          <w:bCs/>
          <w:sz w:val="24"/>
          <w:szCs w:val="24"/>
        </w:rPr>
        <w:lastRenderedPageBreak/>
        <w:t xml:space="preserve">realizada por meio de </w:t>
      </w:r>
      <w:r w:rsidRPr="00AA3A71">
        <w:rPr>
          <w:rFonts w:ascii="Arial" w:hAnsi="Arial" w:cs="Arial"/>
          <w:b/>
          <w:bCs/>
          <w:sz w:val="24"/>
          <w:szCs w:val="24"/>
          <w:u w:val="single"/>
        </w:rPr>
        <w:t>CREDENCIAMENTO</w:t>
      </w:r>
      <w:r w:rsidRPr="00AA3A71">
        <w:rPr>
          <w:rFonts w:ascii="Arial" w:hAnsi="Arial" w:cs="Arial"/>
          <w:b/>
          <w:bCs/>
          <w:sz w:val="24"/>
          <w:szCs w:val="24"/>
        </w:rPr>
        <w:t>, considerando a inviabilidade de competição disposta no caput do art. 25 da Lei nº 8.666/1993.</w:t>
      </w:r>
    </w:p>
    <w:p w:rsidR="0099121E" w:rsidRPr="00AA3A71" w:rsidRDefault="0099121E" w:rsidP="00D57858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9121E" w:rsidRPr="00AA3A71" w:rsidRDefault="0099121E" w:rsidP="00D57858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AA3A71">
        <w:rPr>
          <w:rFonts w:ascii="Arial" w:hAnsi="Arial" w:cs="Arial"/>
          <w:b/>
          <w:bCs/>
          <w:sz w:val="24"/>
          <w:szCs w:val="24"/>
        </w:rPr>
        <w:t xml:space="preserve">3. De acordo com o Decreto nº 21.981/32 e a Instrução Normativa nº 17/2013 do Departamento de Registro Empresarial e Integração, NÃO É ADMISSÍVEL QUE LEILOEIROS SEJAM CONTRATADOS EM SOCIEDADE, </w:t>
      </w:r>
      <w:r w:rsidRPr="00AA3A71">
        <w:rPr>
          <w:rFonts w:ascii="Arial" w:hAnsi="Arial" w:cs="Arial"/>
          <w:b/>
          <w:bCs/>
          <w:sz w:val="24"/>
          <w:szCs w:val="24"/>
          <w:u w:val="single"/>
        </w:rPr>
        <w:t>MESMO QUE DE FATO COM OUTROS(S) LEILOEIRO(S)</w:t>
      </w:r>
      <w:r w:rsidRPr="00AA3A71">
        <w:rPr>
          <w:rFonts w:ascii="Arial" w:hAnsi="Arial" w:cs="Arial"/>
          <w:b/>
          <w:bCs/>
          <w:sz w:val="24"/>
          <w:szCs w:val="24"/>
        </w:rPr>
        <w:t xml:space="preserve">, para atuarem junto a órgãos e entidades públicas no âmbito estadual e municipal, haja vista que não é permitido o exercício das atividades de leiloeiro mediante pessoa jurídica por ele integrada ou administrada. </w:t>
      </w:r>
    </w:p>
    <w:p w:rsidR="000C1298" w:rsidRPr="00AA3A71" w:rsidRDefault="00D57858" w:rsidP="0099121E">
      <w:pPr>
        <w:pStyle w:val="PargrafodaLista"/>
        <w:spacing w:after="0" w:line="360" w:lineRule="auto"/>
        <w:ind w:left="42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0C1298" w:rsidRPr="00AA3A71" w:rsidRDefault="000C1298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>Temos ainda a Instrução Normativa 72/2019 do DREI:</w:t>
      </w:r>
    </w:p>
    <w:p w:rsidR="00C66A9B" w:rsidRPr="00AA3A71" w:rsidRDefault="00C66A9B" w:rsidP="000C129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0C1298" w:rsidRPr="00AA3A71" w:rsidRDefault="00C66A9B" w:rsidP="00D57858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bCs/>
        </w:rPr>
      </w:pPr>
      <w:r w:rsidRPr="00AA3A71">
        <w:rPr>
          <w:rFonts w:ascii="Arial" w:hAnsi="Arial" w:cs="Arial"/>
          <w:b/>
          <w:bCs/>
        </w:rPr>
        <w:t>“</w:t>
      </w:r>
      <w:r w:rsidR="000C1298" w:rsidRPr="00AA3A71">
        <w:rPr>
          <w:rFonts w:ascii="Arial" w:hAnsi="Arial" w:cs="Arial"/>
          <w:b/>
          <w:bCs/>
        </w:rPr>
        <w:t>Art. 70. É proibido ao leiloeiro:</w:t>
      </w:r>
    </w:p>
    <w:p w:rsidR="000C1298" w:rsidRPr="00AA3A71" w:rsidRDefault="000C1298" w:rsidP="00D57858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bCs/>
        </w:rPr>
      </w:pPr>
      <w:r w:rsidRPr="00AA3A71">
        <w:rPr>
          <w:rFonts w:ascii="Arial" w:hAnsi="Arial" w:cs="Arial"/>
          <w:b/>
          <w:bCs/>
        </w:rPr>
        <w:t>I - sob pena de destituição e consequente cancelamento de sua matrícula:</w:t>
      </w:r>
    </w:p>
    <w:p w:rsidR="000C1298" w:rsidRPr="00AA3A71" w:rsidRDefault="000C1298" w:rsidP="00D57858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bCs/>
        </w:rPr>
      </w:pPr>
      <w:r w:rsidRPr="00AA3A71">
        <w:rPr>
          <w:rFonts w:ascii="Arial" w:hAnsi="Arial" w:cs="Arial"/>
          <w:b/>
          <w:bCs/>
        </w:rPr>
        <w:t>a) integrar sociedade de qualquer espécie ou denominação;</w:t>
      </w:r>
    </w:p>
    <w:p w:rsidR="00C66A9B" w:rsidRPr="00AA3A71" w:rsidRDefault="00C66A9B" w:rsidP="00D57858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bCs/>
        </w:rPr>
      </w:pPr>
    </w:p>
    <w:p w:rsidR="00C66A9B" w:rsidRPr="00AA3A71" w:rsidRDefault="00C66A9B" w:rsidP="00D57858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bCs/>
        </w:rPr>
      </w:pPr>
      <w:r w:rsidRPr="00AA3A71">
        <w:rPr>
          <w:rFonts w:ascii="Arial" w:hAnsi="Arial" w:cs="Arial"/>
          <w:b/>
          <w:bCs/>
        </w:rPr>
        <w:t>Art. 71. Está impedido de exercer a profissão de leiloeiro:</w:t>
      </w:r>
    </w:p>
    <w:p w:rsidR="00C66A9B" w:rsidRPr="00AA3A71" w:rsidRDefault="00C66A9B" w:rsidP="00D57858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bCs/>
        </w:rPr>
      </w:pPr>
      <w:r w:rsidRPr="00AA3A71">
        <w:rPr>
          <w:rFonts w:ascii="Arial" w:hAnsi="Arial" w:cs="Arial"/>
          <w:b/>
          <w:bCs/>
        </w:rPr>
        <w:t>[...]</w:t>
      </w:r>
    </w:p>
    <w:p w:rsidR="00C66A9B" w:rsidRPr="00AA3A71" w:rsidRDefault="00C66A9B" w:rsidP="00D57858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bCs/>
        </w:rPr>
      </w:pPr>
      <w:r w:rsidRPr="00AA3A71">
        <w:rPr>
          <w:rFonts w:ascii="Arial" w:hAnsi="Arial" w:cs="Arial"/>
          <w:b/>
          <w:bCs/>
        </w:rPr>
        <w:t>II - aquele que vier a exercer atividade empresária cujo objeto exceda a leiloaria, OU PARTICIPAR DA ADMINISTRAÇÃO E</w:t>
      </w:r>
      <w:proofErr w:type="gramStart"/>
      <w:r w:rsidRPr="00AA3A71">
        <w:rPr>
          <w:rFonts w:ascii="Arial" w:hAnsi="Arial" w:cs="Arial"/>
          <w:b/>
          <w:bCs/>
        </w:rPr>
        <w:t>/O DE FISCALIZAÇÃO EM SOCIEDADE DE QUALQUER ESPÉCIE, no seu ou em alheio nome;”</w:t>
      </w:r>
      <w:proofErr w:type="gramEnd"/>
    </w:p>
    <w:p w:rsidR="000C1298" w:rsidRPr="00AA3A71" w:rsidRDefault="000C1298" w:rsidP="000C129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B37D2A" w:rsidRPr="00AA3A71" w:rsidRDefault="00B37D2A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E3509" w:rsidRPr="00AA3A71" w:rsidRDefault="000C1298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A71">
        <w:rPr>
          <w:rFonts w:ascii="Arial" w:hAnsi="Arial" w:cs="Arial"/>
          <w:sz w:val="24"/>
          <w:szCs w:val="24"/>
        </w:rPr>
        <w:t>Ora, não sejamos ingênuos! Sociedade de Fato não requer registro de CNPJ, apenas que duas ou mais pessoas – física ou jurídica se unam em busca do mesmo objetivo</w:t>
      </w:r>
      <w:r w:rsidR="00C66A9B" w:rsidRPr="00AA3A71">
        <w:rPr>
          <w:rFonts w:ascii="Arial" w:hAnsi="Arial" w:cs="Arial"/>
          <w:sz w:val="24"/>
          <w:szCs w:val="24"/>
        </w:rPr>
        <w:t xml:space="preserve">, onde todos os sócios entre si fiscalizam os atos em nome de todos. </w:t>
      </w:r>
      <w:r w:rsidRPr="00AA3A71">
        <w:rPr>
          <w:rFonts w:ascii="Arial" w:hAnsi="Arial" w:cs="Arial"/>
          <w:sz w:val="24"/>
          <w:szCs w:val="24"/>
          <w:shd w:val="clear" w:color="auto" w:fill="FFFFFF"/>
        </w:rPr>
        <w:t>As </w:t>
      </w:r>
      <w:r w:rsidRPr="00AA3A71">
        <w:rPr>
          <w:rFonts w:ascii="Arial" w:hAnsi="Arial" w:cs="Arial"/>
          <w:b/>
          <w:bCs/>
          <w:sz w:val="24"/>
          <w:szCs w:val="24"/>
          <w:shd w:val="clear" w:color="auto" w:fill="FFFFFF"/>
        </w:rPr>
        <w:t>sociedades de fato</w:t>
      </w:r>
      <w:r w:rsidRPr="00AA3A71">
        <w:rPr>
          <w:rFonts w:ascii="Arial" w:hAnsi="Arial" w:cs="Arial"/>
          <w:sz w:val="24"/>
          <w:szCs w:val="24"/>
          <w:shd w:val="clear" w:color="auto" w:fill="FFFFFF"/>
        </w:rPr>
        <w:t> são aquelas que não possuem personalidade jurídica em decorrência de não possuírem registro, ou seja, não estando devidamente constituídas, tornando-se assim uma </w:t>
      </w:r>
      <w:r w:rsidRPr="00AA3A71">
        <w:rPr>
          <w:rFonts w:ascii="Arial" w:hAnsi="Arial" w:cs="Arial"/>
          <w:b/>
          <w:bCs/>
          <w:sz w:val="24"/>
          <w:szCs w:val="24"/>
          <w:shd w:val="clear" w:color="auto" w:fill="FFFFFF"/>
        </w:rPr>
        <w:t>sociedade</w:t>
      </w:r>
      <w:r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 não </w:t>
      </w:r>
      <w:r w:rsidRPr="00AA3A71">
        <w:rPr>
          <w:rFonts w:ascii="Arial" w:hAnsi="Arial" w:cs="Arial"/>
          <w:sz w:val="24"/>
          <w:szCs w:val="24"/>
          <w:shd w:val="clear" w:color="auto" w:fill="FFFFFF"/>
        </w:rPr>
        <w:lastRenderedPageBreak/>
        <w:t>personificada. No caso em tela, o que se verifica é que</w:t>
      </w:r>
      <w:r w:rsidR="00C66A9B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 os recorrentes estão sempre unidos, onde esta união vai desde a entrega dos seus documentos de maneira conjunta dentro do mesmo envelope/malote, até mesmo na apresentação dos seus recursos</w:t>
      </w:r>
      <w:r w:rsidR="003F1749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 (é o que ocorre no presente certame)</w:t>
      </w:r>
      <w:r w:rsidR="00C66A9B" w:rsidRPr="00AA3A71">
        <w:rPr>
          <w:rFonts w:ascii="Arial" w:hAnsi="Arial" w:cs="Arial"/>
          <w:sz w:val="24"/>
          <w:szCs w:val="24"/>
          <w:shd w:val="clear" w:color="auto" w:fill="FFFFFF"/>
        </w:rPr>
        <w:t>, estando sempre interligados entre si.</w:t>
      </w:r>
      <w:r w:rsidR="008E3509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 Por estes motivos, a Comissão resolveu INABILITAR DE PLANO todos os</w:t>
      </w:r>
      <w:r w:rsidR="003F1749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 11</w:t>
      </w:r>
      <w:r w:rsidR="008E3509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 recorrentes na sessão da abertura dos envelopes</w:t>
      </w:r>
      <w:r w:rsidR="005C6E09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5C6E09" w:rsidRPr="00AA3A71" w:rsidRDefault="005C6E09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C6E09" w:rsidRPr="00AA3A71" w:rsidRDefault="005C6E09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A71">
        <w:rPr>
          <w:rFonts w:ascii="Arial" w:hAnsi="Arial" w:cs="Arial"/>
          <w:sz w:val="24"/>
          <w:szCs w:val="24"/>
          <w:shd w:val="clear" w:color="auto" w:fill="FFFFFF"/>
        </w:rPr>
        <w:t>Sabe-se também, que esta Administração não é fiscal e nem cumpre a ela a obrigação de fiscalizar os leiloeiros, porém, verificando a existência de fato contrário aos ensinamentos legais, não poderia fechar os olhos e fingir que estivesse tudo dentro dos conformes, uma vez que prezamos pelas Leis e Princípios que regem o nosso ordenamento, em especial os da moralidade, legalidade.</w:t>
      </w:r>
    </w:p>
    <w:p w:rsidR="005C6E09" w:rsidRPr="00AA3A71" w:rsidRDefault="005C6E09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C6E09" w:rsidRPr="00AA3A71" w:rsidRDefault="005C6E09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A71">
        <w:rPr>
          <w:rFonts w:ascii="Arial" w:hAnsi="Arial" w:cs="Arial"/>
          <w:sz w:val="24"/>
          <w:szCs w:val="24"/>
          <w:shd w:val="clear" w:color="auto" w:fill="FFFFFF"/>
        </w:rPr>
        <w:t>Após breves pesquisas</w:t>
      </w:r>
      <w:r w:rsidR="00A64A77" w:rsidRPr="00AA3A71">
        <w:rPr>
          <w:rFonts w:ascii="Arial" w:hAnsi="Arial" w:cs="Arial"/>
          <w:sz w:val="24"/>
          <w:szCs w:val="24"/>
          <w:shd w:val="clear" w:color="auto" w:fill="FFFFFF"/>
        </w:rPr>
        <w:t>, constatou-se ainda que outras Administrações Municipais igualmente já inabilitaram os recorrentes, ou então, grande parte deles, por possuírem o mesmo entendimento. Dentre eles, apontamos as recentes decisões das Administrações de Dona Emma e Maracajá.</w:t>
      </w:r>
    </w:p>
    <w:p w:rsidR="00A64A77" w:rsidRPr="00AA3A71" w:rsidRDefault="00A64A77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0120" w:rsidRPr="00AA3A71" w:rsidRDefault="00A64A77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Se aprofundando um pouco mais nas pesquisas, a fim de resguardar a idoneidade desta Comissão, encontramos também algumas Denegações de Mandados de Segurança apresentados pelos recorrentes ou parte deles, dentre as quais citamos os autos </w:t>
      </w:r>
      <w:r w:rsidR="00800120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5000910-60.2019.8.24.0218 da Vara Única da Comarca de </w:t>
      </w:r>
      <w:proofErr w:type="spellStart"/>
      <w:r w:rsidR="00800120" w:rsidRPr="00AA3A71">
        <w:rPr>
          <w:rFonts w:ascii="Arial" w:hAnsi="Arial" w:cs="Arial"/>
          <w:sz w:val="24"/>
          <w:szCs w:val="24"/>
          <w:shd w:val="clear" w:color="auto" w:fill="FFFFFF"/>
        </w:rPr>
        <w:t>Catanduvas</w:t>
      </w:r>
      <w:proofErr w:type="spellEnd"/>
      <w:r w:rsidR="00800120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 (já sentenciado com resolução de mérito), bem como, os autos</w:t>
      </w:r>
      <w:r w:rsidR="00F669DA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 5001796-22.20198.24.0004 da 1ª Vara da Comarca de Araranguá, igualmente sentenciado Denegando a Segurança.</w:t>
      </w:r>
    </w:p>
    <w:p w:rsidR="00F669DA" w:rsidRPr="00AA3A71" w:rsidRDefault="00F669DA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669DA" w:rsidRPr="00AA3A71" w:rsidRDefault="00C5490A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A71">
        <w:rPr>
          <w:rFonts w:ascii="Arial" w:hAnsi="Arial" w:cs="Arial"/>
          <w:sz w:val="24"/>
          <w:szCs w:val="24"/>
          <w:shd w:val="clear" w:color="auto" w:fill="FFFFFF"/>
        </w:rPr>
        <w:t>Não obstante, recentemente o STF em julgamento de Embargos de Declaração na Arguição de Descumprimento de Preceito Fundamental 419 Distrito Federal recepcionou o Decreto 21.981/1932 (Regulamenta a Profissão de Leiloeiro) pelo ordenamento constitucional vigente como lei ordinária.</w:t>
      </w:r>
    </w:p>
    <w:p w:rsidR="007B203B" w:rsidRPr="00AA3A71" w:rsidRDefault="007B203B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B203B" w:rsidRPr="00D57858" w:rsidRDefault="007B203B" w:rsidP="00D57858">
      <w:pPr>
        <w:pStyle w:val="PargrafodaLista"/>
        <w:spacing w:after="0" w:line="360" w:lineRule="auto"/>
        <w:ind w:left="709"/>
        <w:jc w:val="both"/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</w:pPr>
      <w:r w:rsidRPr="00D5785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lastRenderedPageBreak/>
        <w:t>EMBARGOS DE DECLARAÇÃO EM ARGUIÇÃO DE</w:t>
      </w:r>
      <w:r w:rsidRPr="00D57858">
        <w:rPr>
          <w:rFonts w:ascii="Arial" w:hAnsi="Arial" w:cs="Arial"/>
          <w:b/>
          <w:bCs/>
          <w:sz w:val="24"/>
          <w:szCs w:val="24"/>
        </w:rPr>
        <w:br/>
      </w:r>
      <w:r w:rsidRPr="00D5785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DESCUMPRIMENTO DE PRECEITO FUNDAMENTAL. DIREITO</w:t>
      </w:r>
      <w:r w:rsidRPr="00D57858">
        <w:rPr>
          <w:rFonts w:ascii="Arial" w:hAnsi="Arial" w:cs="Arial"/>
          <w:b/>
          <w:bCs/>
          <w:sz w:val="24"/>
          <w:szCs w:val="24"/>
        </w:rPr>
        <w:br/>
      </w:r>
      <w:r w:rsidRPr="00D5785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CONSTITUCIONAL. ART. 36, A, §§ 1º E 2º, DO DECRETO 21.981/1932.</w:t>
      </w:r>
      <w:r w:rsidRPr="00D57858">
        <w:rPr>
          <w:rFonts w:ascii="Arial" w:hAnsi="Arial" w:cs="Arial"/>
          <w:b/>
          <w:bCs/>
          <w:sz w:val="24"/>
          <w:szCs w:val="24"/>
        </w:rPr>
        <w:br/>
      </w:r>
      <w:r w:rsidRPr="00D5785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LIVRE EXERCÍCIO PROFISSIONAL. RESTRIÇÕES. LEILOEIRO.</w:t>
      </w:r>
      <w:r w:rsidRPr="00D57858">
        <w:rPr>
          <w:rFonts w:ascii="Arial" w:hAnsi="Arial" w:cs="Arial"/>
          <w:b/>
          <w:bCs/>
          <w:sz w:val="24"/>
          <w:szCs w:val="24"/>
        </w:rPr>
        <w:br/>
      </w:r>
      <w:r w:rsidRPr="00D5785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ALEGAÇÃO DE OMISSÃO. OCORRÊNCIA. RESERVA LEGAL.</w:t>
      </w:r>
      <w:r w:rsidRPr="00D57858">
        <w:rPr>
          <w:rFonts w:ascii="Arial" w:hAnsi="Arial" w:cs="Arial"/>
          <w:b/>
          <w:bCs/>
          <w:sz w:val="24"/>
          <w:szCs w:val="24"/>
        </w:rPr>
        <w:br/>
      </w:r>
      <w:r w:rsidRPr="00D5785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NORMAS ANTERIORES À CONSTITUIÇÃO. MATERIALMENTE</w:t>
      </w:r>
      <w:r w:rsidRPr="00D57858">
        <w:rPr>
          <w:rFonts w:ascii="Arial" w:hAnsi="Arial" w:cs="Arial"/>
          <w:b/>
          <w:bCs/>
          <w:sz w:val="24"/>
          <w:szCs w:val="24"/>
        </w:rPr>
        <w:br/>
      </w:r>
      <w:r w:rsidRPr="00D5785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COMPATÍVEIS À ORDEM VIGENTE. JUÍZO DE RECEPÇÃO.</w:t>
      </w:r>
      <w:r w:rsidRPr="00D57858">
        <w:rPr>
          <w:rFonts w:ascii="Arial" w:hAnsi="Arial" w:cs="Arial"/>
          <w:b/>
          <w:bCs/>
          <w:sz w:val="24"/>
          <w:szCs w:val="24"/>
        </w:rPr>
        <w:br/>
      </w:r>
      <w:r w:rsidRPr="00D5785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POSITIVO. EMBARGOS ACOLHIDOS, SEM EFEITOS</w:t>
      </w:r>
      <w:r w:rsidRPr="00D57858">
        <w:rPr>
          <w:rFonts w:ascii="Arial" w:hAnsi="Arial" w:cs="Arial"/>
          <w:b/>
          <w:bCs/>
          <w:sz w:val="24"/>
          <w:szCs w:val="24"/>
        </w:rPr>
        <w:br/>
      </w:r>
      <w:r w:rsidRPr="00D5785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MODIFICATIVOS.</w:t>
      </w:r>
    </w:p>
    <w:p w:rsidR="007B203B" w:rsidRPr="00D57858" w:rsidRDefault="007B203B" w:rsidP="00D57858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D57858">
        <w:rPr>
          <w:rFonts w:ascii="Arial" w:hAnsi="Arial" w:cs="Arial"/>
          <w:b/>
          <w:bCs/>
          <w:sz w:val="24"/>
          <w:szCs w:val="24"/>
        </w:rPr>
        <w:t>RELATOR :</w:t>
      </w:r>
      <w:proofErr w:type="gramEnd"/>
      <w:r w:rsidRPr="00D57858">
        <w:rPr>
          <w:rFonts w:ascii="Arial" w:hAnsi="Arial" w:cs="Arial"/>
          <w:b/>
          <w:bCs/>
          <w:sz w:val="24"/>
          <w:szCs w:val="24"/>
        </w:rPr>
        <w:t xml:space="preserve"> MIN. EDSON FACHIN</w:t>
      </w:r>
    </w:p>
    <w:p w:rsidR="007B203B" w:rsidRPr="00AA3A71" w:rsidRDefault="007B203B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7B203B" w:rsidRDefault="007B203B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>Nesta linha, assim ensina o artigo 36, a, 1º e 2º do Decreto 21.981/32:</w:t>
      </w:r>
    </w:p>
    <w:p w:rsidR="00D57858" w:rsidRPr="00AA3A71" w:rsidRDefault="00D57858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B203B" w:rsidRPr="00AA3A71" w:rsidRDefault="007B203B" w:rsidP="00D57858">
      <w:pPr>
        <w:pStyle w:val="NormalWeb"/>
        <w:ind w:left="709"/>
        <w:rPr>
          <w:rFonts w:ascii="Arial" w:hAnsi="Arial" w:cs="Arial"/>
          <w:b/>
          <w:bCs/>
        </w:rPr>
      </w:pPr>
      <w:r w:rsidRPr="00AA3A71">
        <w:rPr>
          <w:rFonts w:ascii="Arial" w:hAnsi="Arial" w:cs="Arial"/>
          <w:b/>
          <w:bCs/>
        </w:rPr>
        <w:t>“Art. 36. É proibido ao leiloeiro:</w:t>
      </w:r>
    </w:p>
    <w:p w:rsidR="007B203B" w:rsidRPr="00AA3A71" w:rsidRDefault="007B203B" w:rsidP="00D57858">
      <w:pPr>
        <w:pStyle w:val="NormalWeb"/>
        <w:spacing w:before="300" w:beforeAutospacing="0" w:after="300" w:afterAutospacing="0"/>
        <w:ind w:left="709"/>
        <w:rPr>
          <w:rFonts w:ascii="Arial" w:hAnsi="Arial" w:cs="Arial"/>
          <w:b/>
          <w:bCs/>
        </w:rPr>
      </w:pPr>
      <w:bookmarkStart w:id="0" w:name="art36a"/>
      <w:bookmarkEnd w:id="0"/>
      <w:r w:rsidRPr="00AA3A71">
        <w:rPr>
          <w:rStyle w:val="nfase"/>
          <w:rFonts w:ascii="Arial" w:hAnsi="Arial" w:cs="Arial"/>
          <w:b/>
          <w:bCs/>
        </w:rPr>
        <w:t>a)</w:t>
      </w:r>
      <w:r w:rsidRPr="00AA3A71">
        <w:rPr>
          <w:rFonts w:ascii="Arial" w:hAnsi="Arial" w:cs="Arial"/>
          <w:b/>
          <w:bCs/>
        </w:rPr>
        <w:t> sob pena de destituição:</w:t>
      </w:r>
    </w:p>
    <w:p w:rsidR="007B203B" w:rsidRPr="00AA3A71" w:rsidRDefault="007B203B" w:rsidP="00D57858">
      <w:pPr>
        <w:pStyle w:val="NormalWeb"/>
        <w:spacing w:before="300" w:beforeAutospacing="0" w:after="300" w:afterAutospacing="0"/>
        <w:ind w:left="709"/>
        <w:rPr>
          <w:rFonts w:ascii="Arial" w:hAnsi="Arial" w:cs="Arial"/>
          <w:b/>
          <w:bCs/>
        </w:rPr>
      </w:pPr>
      <w:bookmarkStart w:id="1" w:name="art36a1"/>
      <w:bookmarkEnd w:id="1"/>
      <w:r w:rsidRPr="00AA3A71">
        <w:rPr>
          <w:rFonts w:ascii="Arial" w:hAnsi="Arial" w:cs="Arial"/>
          <w:b/>
          <w:bCs/>
        </w:rPr>
        <w:t>1º, exercer o comércio direta ou indiretamente no seu ou alheio nome;</w:t>
      </w:r>
    </w:p>
    <w:p w:rsidR="007B203B" w:rsidRPr="00AA3A71" w:rsidRDefault="007B203B" w:rsidP="00D57858">
      <w:pPr>
        <w:pStyle w:val="NormalWeb"/>
        <w:spacing w:before="300" w:beforeAutospacing="0" w:after="300" w:afterAutospacing="0"/>
        <w:ind w:left="709"/>
        <w:rPr>
          <w:rFonts w:ascii="Arial" w:hAnsi="Arial" w:cs="Arial"/>
          <w:b/>
          <w:bCs/>
        </w:rPr>
      </w:pPr>
      <w:bookmarkStart w:id="2" w:name="art36a2"/>
      <w:bookmarkEnd w:id="2"/>
      <w:r w:rsidRPr="00AA3A71">
        <w:rPr>
          <w:rFonts w:ascii="Arial" w:hAnsi="Arial" w:cs="Arial"/>
          <w:b/>
          <w:bCs/>
        </w:rPr>
        <w:t>2º, constituir sociedade de qualquer espécie ou denominação;”</w:t>
      </w:r>
    </w:p>
    <w:p w:rsidR="007B203B" w:rsidRPr="00AA3A71" w:rsidRDefault="007B203B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64A77" w:rsidRPr="00AA3A71" w:rsidRDefault="007B203B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Entretanto, mesmo que a competência fiscalizadora dos leiloeiros caiba exclusivamente à Junta Comercial, não poderíamos ser omissos nas aplicabilidades Legais a fim de nos resguardarmos de possíveis e eventuais </w:t>
      </w:r>
      <w:r w:rsidR="00EB2B0B" w:rsidRPr="00AA3A71">
        <w:rPr>
          <w:rFonts w:ascii="Arial" w:hAnsi="Arial" w:cs="Arial"/>
          <w:sz w:val="24"/>
          <w:szCs w:val="24"/>
          <w:shd w:val="clear" w:color="auto" w:fill="FFFFFF"/>
        </w:rPr>
        <w:t>infortúnios futuros.</w:t>
      </w:r>
    </w:p>
    <w:p w:rsidR="00EB2B0B" w:rsidRPr="00AA3A71" w:rsidRDefault="00EB2B0B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B7CFD" w:rsidRPr="00AA3A71" w:rsidRDefault="00EB2B0B" w:rsidP="00D578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Por fim, quanto às infelizes alegações dos recorrentes de que estamos direcionando a licitação, estas não merecem qualquer comentário, porém, lembramos que conforme consta na Ata </w:t>
      </w:r>
      <w:r w:rsidR="007B5A4F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da Sessão de Julgamento realizada em 13/09/2021, outros 7 (sete) leiloeiros apresentaram individualmente os seus envelopes contendo os documentos requeridos no Edital, sendo que a formação do Rol dos credenciados será mediante SORTEIO conforme preconiza a Cláusula </w:t>
      </w:r>
      <w:r w:rsidR="00CB7CFD" w:rsidRPr="00AA3A71">
        <w:rPr>
          <w:rFonts w:ascii="Arial" w:hAnsi="Arial" w:cs="Arial"/>
          <w:sz w:val="24"/>
          <w:szCs w:val="24"/>
          <w:shd w:val="clear" w:color="auto" w:fill="FFFFFF"/>
        </w:rPr>
        <w:t xml:space="preserve">2.3.4 do presente Edital por se </w:t>
      </w:r>
      <w:r w:rsidR="00CB7CFD" w:rsidRPr="00AA3A71">
        <w:rPr>
          <w:rFonts w:ascii="Arial" w:hAnsi="Arial" w:cs="Arial"/>
          <w:sz w:val="24"/>
          <w:szCs w:val="24"/>
        </w:rPr>
        <w:t xml:space="preserve">a alternativa mais viável </w:t>
      </w:r>
      <w:r w:rsidR="00CB7CFD" w:rsidRPr="00AA3A71">
        <w:rPr>
          <w:rFonts w:ascii="Arial" w:hAnsi="Arial" w:cs="Arial"/>
          <w:sz w:val="24"/>
          <w:szCs w:val="24"/>
        </w:rPr>
        <w:lastRenderedPageBreak/>
        <w:t>para que sejam cumpridos os princípios da isonomia, da igualdade e da impessoalidade. Entretanto não há que se falar em direcionamento da licitação.</w:t>
      </w:r>
    </w:p>
    <w:p w:rsidR="00CB7CFD" w:rsidRPr="00AA3A71" w:rsidRDefault="00CB7CFD" w:rsidP="00CB7C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7CFD" w:rsidRPr="00AA3A71" w:rsidRDefault="00CB7CFD" w:rsidP="00D57858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A3A71">
        <w:rPr>
          <w:rFonts w:ascii="Arial" w:hAnsi="Arial" w:cs="Arial"/>
          <w:b/>
          <w:bCs/>
          <w:sz w:val="24"/>
          <w:szCs w:val="24"/>
        </w:rPr>
        <w:t>DA DECISÃO</w:t>
      </w:r>
    </w:p>
    <w:p w:rsidR="00EB2B0B" w:rsidRPr="00AA3A71" w:rsidRDefault="00EB2B0B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8E3509" w:rsidRPr="00AA3A71" w:rsidRDefault="00CB7CFD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>Diante de todo o exposto, esta Comissão resolve conhecer o recurso, porém, NEGA PROVIMENTO, entendendo pela manutenção da inabilitação de todos os recorrentes.</w:t>
      </w:r>
    </w:p>
    <w:p w:rsidR="00CB7CFD" w:rsidRPr="00AA3A71" w:rsidRDefault="00CB7CFD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7CFD" w:rsidRPr="00AA3A71" w:rsidRDefault="00CB7CFD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 xml:space="preserve">Fica agendado o dia </w:t>
      </w:r>
      <w:r w:rsidR="00212CA6">
        <w:rPr>
          <w:rFonts w:ascii="Arial" w:hAnsi="Arial" w:cs="Arial"/>
          <w:sz w:val="24"/>
          <w:szCs w:val="24"/>
        </w:rPr>
        <w:t>03/11/2021</w:t>
      </w:r>
      <w:r w:rsidRPr="00AA3A71">
        <w:rPr>
          <w:rFonts w:ascii="Arial" w:hAnsi="Arial" w:cs="Arial"/>
          <w:sz w:val="24"/>
          <w:szCs w:val="24"/>
        </w:rPr>
        <w:t xml:space="preserve"> às </w:t>
      </w:r>
      <w:r w:rsidR="00212CA6">
        <w:rPr>
          <w:rFonts w:ascii="Arial" w:hAnsi="Arial" w:cs="Arial"/>
          <w:sz w:val="24"/>
          <w:szCs w:val="24"/>
        </w:rPr>
        <w:t xml:space="preserve">14 </w:t>
      </w:r>
      <w:r w:rsidR="00AA3A71" w:rsidRPr="00AA3A71">
        <w:rPr>
          <w:rFonts w:ascii="Arial" w:hAnsi="Arial" w:cs="Arial"/>
          <w:sz w:val="24"/>
          <w:szCs w:val="24"/>
        </w:rPr>
        <w:t xml:space="preserve">horas e </w:t>
      </w:r>
      <w:r w:rsidR="00212CA6">
        <w:rPr>
          <w:rFonts w:ascii="Arial" w:hAnsi="Arial" w:cs="Arial"/>
          <w:sz w:val="24"/>
          <w:szCs w:val="24"/>
        </w:rPr>
        <w:t>20</w:t>
      </w:r>
      <w:r w:rsidR="00AA3A71" w:rsidRPr="00AA3A71">
        <w:rPr>
          <w:rFonts w:ascii="Arial" w:hAnsi="Arial" w:cs="Arial"/>
          <w:sz w:val="24"/>
          <w:szCs w:val="24"/>
        </w:rPr>
        <w:t xml:space="preserve"> minutos para a realização do sorteio entre os habilitados, na sala de reunião da Prefeitura Municipal de Monte Carlo/SC.</w:t>
      </w:r>
    </w:p>
    <w:p w:rsidR="00AA3A71" w:rsidRPr="00AA3A71" w:rsidRDefault="00AA3A71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3A71" w:rsidRDefault="00AA3A71" w:rsidP="00212CA6">
      <w:pPr>
        <w:pStyle w:val="PargrafodaLista"/>
        <w:spacing w:after="0" w:line="360" w:lineRule="auto"/>
        <w:ind w:left="0" w:firstLine="708"/>
        <w:jc w:val="right"/>
        <w:rPr>
          <w:rFonts w:ascii="Arial" w:hAnsi="Arial" w:cs="Arial"/>
          <w:sz w:val="24"/>
          <w:szCs w:val="24"/>
        </w:rPr>
      </w:pPr>
      <w:r w:rsidRPr="00AA3A71">
        <w:rPr>
          <w:rFonts w:ascii="Arial" w:hAnsi="Arial" w:cs="Arial"/>
          <w:sz w:val="24"/>
          <w:szCs w:val="24"/>
        </w:rPr>
        <w:t xml:space="preserve">Monte Carlo/SC </w:t>
      </w:r>
      <w:r w:rsidR="00212CA6">
        <w:rPr>
          <w:rFonts w:ascii="Arial" w:hAnsi="Arial" w:cs="Arial"/>
          <w:sz w:val="24"/>
          <w:szCs w:val="24"/>
        </w:rPr>
        <w:t>15</w:t>
      </w:r>
      <w:proofErr w:type="gramStart"/>
      <w:r w:rsidR="00212CA6">
        <w:rPr>
          <w:rFonts w:ascii="Arial" w:hAnsi="Arial" w:cs="Arial"/>
          <w:sz w:val="24"/>
          <w:szCs w:val="24"/>
        </w:rPr>
        <w:t xml:space="preserve">   </w:t>
      </w:r>
      <w:proofErr w:type="gramEnd"/>
      <w:r w:rsidR="00212CA6">
        <w:rPr>
          <w:rFonts w:ascii="Arial" w:hAnsi="Arial" w:cs="Arial"/>
          <w:sz w:val="24"/>
          <w:szCs w:val="24"/>
        </w:rPr>
        <w:t>outubro de 2021</w:t>
      </w:r>
    </w:p>
    <w:p w:rsidR="00212CA6" w:rsidRDefault="00212CA6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212CA6" w:rsidRPr="00AA3A71" w:rsidRDefault="00212CA6" w:rsidP="00D57858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PERMANENTE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DE LICITAÇÕES </w:t>
      </w:r>
    </w:p>
    <w:p w:rsidR="00AA3A71" w:rsidRPr="00AA3A71" w:rsidRDefault="00AA3A71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01491" w:rsidRDefault="00212CA6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GUILHERME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ALBERTI</w:t>
      </w:r>
    </w:p>
    <w:p w:rsidR="00212CA6" w:rsidRDefault="00212CA6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Presidente </w:t>
      </w:r>
    </w:p>
    <w:p w:rsidR="00212CA6" w:rsidRDefault="00212CA6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12CA6" w:rsidRDefault="00212CA6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EDIR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SALETE DE SOUZA</w:t>
      </w:r>
    </w:p>
    <w:p w:rsidR="00212CA6" w:rsidRDefault="00212CA6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Membro</w:t>
      </w:r>
    </w:p>
    <w:p w:rsidR="00212CA6" w:rsidRDefault="00212CA6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12CA6" w:rsidRDefault="00212CA6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ILCEMAR SCAPINELLO</w:t>
      </w:r>
    </w:p>
    <w:p w:rsidR="00212CA6" w:rsidRPr="00AA3A71" w:rsidRDefault="00212CA6" w:rsidP="003944A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Membro </w:t>
      </w:r>
    </w:p>
    <w:sectPr w:rsidR="00212CA6" w:rsidRPr="00AA3A71" w:rsidSect="00DF5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3C1"/>
    <w:multiLevelType w:val="hybridMultilevel"/>
    <w:tmpl w:val="23165026"/>
    <w:lvl w:ilvl="0" w:tplc="47DC2454">
      <w:start w:val="1"/>
      <w:numFmt w:val="upperRoman"/>
      <w:lvlText w:val="%1."/>
      <w:lvlJc w:val="left"/>
      <w:pPr>
        <w:ind w:left="109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730F4A3E"/>
    <w:multiLevelType w:val="hybridMultilevel"/>
    <w:tmpl w:val="549C64A8"/>
    <w:lvl w:ilvl="0" w:tplc="2A460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F2C"/>
    <w:rsid w:val="000C1298"/>
    <w:rsid w:val="00120EE1"/>
    <w:rsid w:val="00212CA6"/>
    <w:rsid w:val="003944A9"/>
    <w:rsid w:val="003F1749"/>
    <w:rsid w:val="0042583C"/>
    <w:rsid w:val="00434BF7"/>
    <w:rsid w:val="00525876"/>
    <w:rsid w:val="005C6E09"/>
    <w:rsid w:val="006E1715"/>
    <w:rsid w:val="007B203B"/>
    <w:rsid w:val="007B5A4F"/>
    <w:rsid w:val="00800120"/>
    <w:rsid w:val="008E3509"/>
    <w:rsid w:val="0099121E"/>
    <w:rsid w:val="009E406F"/>
    <w:rsid w:val="00A64A77"/>
    <w:rsid w:val="00AA3A71"/>
    <w:rsid w:val="00B37D2A"/>
    <w:rsid w:val="00C30C42"/>
    <w:rsid w:val="00C5490A"/>
    <w:rsid w:val="00C66A9B"/>
    <w:rsid w:val="00CB7CFD"/>
    <w:rsid w:val="00D57858"/>
    <w:rsid w:val="00DA3F2C"/>
    <w:rsid w:val="00DF5E90"/>
    <w:rsid w:val="00E25BFB"/>
    <w:rsid w:val="00E901F7"/>
    <w:rsid w:val="00EB2B0B"/>
    <w:rsid w:val="00F01491"/>
    <w:rsid w:val="00F669DA"/>
    <w:rsid w:val="00F9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90"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2583C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83C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rsid w:val="0042583C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7B203B"/>
    <w:rPr>
      <w:rFonts w:ascii="PalatinoLinotype-Roman" w:hAnsi="PalatinoLinotype-Roman" w:hint="default"/>
      <w:b w:val="0"/>
      <w:bCs w:val="0"/>
      <w:i w:val="0"/>
      <w:iCs w:val="0"/>
      <w:color w:val="000000"/>
      <w:sz w:val="26"/>
      <w:szCs w:val="26"/>
    </w:rPr>
  </w:style>
  <w:style w:type="character" w:styleId="nfase">
    <w:name w:val="Emphasis"/>
    <w:basedOn w:val="Fontepargpadro"/>
    <w:uiPriority w:val="20"/>
    <w:qFormat/>
    <w:rsid w:val="007B2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admin</cp:lastModifiedBy>
  <cp:revision>2</cp:revision>
  <cp:lastPrinted>2021-10-14T17:07:00Z</cp:lastPrinted>
  <dcterms:created xsi:type="dcterms:W3CDTF">2021-10-15T12:26:00Z</dcterms:created>
  <dcterms:modified xsi:type="dcterms:W3CDTF">2021-10-15T12:26:00Z</dcterms:modified>
</cp:coreProperties>
</file>