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25" w:rsidRDefault="008A1D25" w:rsidP="008A1D25">
      <w:pPr>
        <w:outlineLvl w:val="0"/>
      </w:pPr>
      <w:r>
        <w:t xml:space="preserve"> LEI N° 1170/2019, DE 22 DE NOVEMBRO DE 2019</w:t>
      </w:r>
    </w:p>
    <w:p w:rsidR="008A1D25" w:rsidRDefault="008A1D25" w:rsidP="008A1D25">
      <w:pPr>
        <w:ind w:left="2520"/>
      </w:pPr>
    </w:p>
    <w:p w:rsidR="008A1D25" w:rsidRDefault="008A1D25" w:rsidP="008A1D25">
      <w:pPr>
        <w:tabs>
          <w:tab w:val="left" w:pos="2268"/>
        </w:tabs>
        <w:ind w:left="2832"/>
        <w:jc w:val="both"/>
      </w:pPr>
      <w:r>
        <w:t xml:space="preserve">ALTERA OS ARTS. 1º, 2º E 3º DA </w:t>
      </w:r>
      <w:r>
        <w:rPr>
          <w:rFonts w:eastAsia="Batang"/>
        </w:rPr>
        <w:t xml:space="preserve">LEI Nº 740, DE 28 DE JUNHO DE 2010, O ART. 41 DA LEI Nº 1.131, DE </w:t>
      </w:r>
      <w:proofErr w:type="gramStart"/>
      <w:r>
        <w:rPr>
          <w:rFonts w:eastAsia="Batang"/>
        </w:rPr>
        <w:t>7</w:t>
      </w:r>
      <w:proofErr w:type="gramEnd"/>
      <w:r>
        <w:rPr>
          <w:rFonts w:eastAsia="Batang"/>
        </w:rPr>
        <w:t xml:space="preserve"> DE DEZEMBRO DE 2018, E OS ARTS. 54, 103 E 109 DA LEI Nº 1.132, DE </w:t>
      </w:r>
      <w:proofErr w:type="gramStart"/>
      <w:r>
        <w:rPr>
          <w:rFonts w:eastAsia="Batang"/>
        </w:rPr>
        <w:t>7</w:t>
      </w:r>
      <w:proofErr w:type="gramEnd"/>
      <w:r>
        <w:rPr>
          <w:rFonts w:eastAsia="Batang"/>
        </w:rPr>
        <w:t xml:space="preserve"> DE DEZEMBRO DE 2018</w:t>
      </w:r>
      <w:r>
        <w:t>.</w:t>
      </w:r>
    </w:p>
    <w:p w:rsidR="008A1D25" w:rsidRDefault="008A1D25" w:rsidP="008A1D25">
      <w:pPr>
        <w:spacing w:line="360" w:lineRule="auto"/>
        <w:ind w:left="1843"/>
        <w:jc w:val="both"/>
      </w:pPr>
    </w:p>
    <w:p w:rsidR="008A1D25" w:rsidRDefault="008A1D25" w:rsidP="008A1D25">
      <w:pPr>
        <w:ind w:firstLine="708"/>
        <w:jc w:val="both"/>
      </w:pPr>
      <w:r>
        <w:t>SONIA SALETE VEDOVATTO, Prefeita de Monte Carlo, Estado de Santa Catarina, no uso de suas atribuições, faz saber a todos os habitantes que a Câmara de Vereadores aprovou e ele sanciona a seguinte lei:</w:t>
      </w:r>
    </w:p>
    <w:p w:rsidR="008A1D25" w:rsidRDefault="008A1D25" w:rsidP="008A1D25">
      <w:pPr>
        <w:jc w:val="both"/>
      </w:pPr>
    </w:p>
    <w:p w:rsidR="008A1D25" w:rsidRDefault="008A1D25" w:rsidP="008A1D25">
      <w:pPr>
        <w:spacing w:line="276" w:lineRule="auto"/>
        <w:ind w:firstLine="708"/>
        <w:jc w:val="both"/>
        <w:rPr>
          <w:rFonts w:eastAsia="Batang"/>
        </w:rPr>
      </w:pPr>
      <w:r>
        <w:rPr>
          <w:rFonts w:eastAsia="Batang"/>
        </w:rPr>
        <w:t xml:space="preserve">Art. 1º O </w:t>
      </w:r>
      <w:r>
        <w:rPr>
          <w:rFonts w:eastAsia="Batang"/>
          <w:i/>
        </w:rPr>
        <w:t xml:space="preserve">caput </w:t>
      </w:r>
      <w:r>
        <w:rPr>
          <w:rFonts w:eastAsia="Batang"/>
        </w:rPr>
        <w:t>do art. 1º, da Lei nº 740, de 28 de junho de 2010, passa a vigorar com a seguinte redação:</w:t>
      </w:r>
    </w:p>
    <w:p w:rsidR="008A1D25" w:rsidRDefault="008A1D25" w:rsidP="008A1D25">
      <w:pPr>
        <w:ind w:left="709"/>
        <w:jc w:val="both"/>
        <w:rPr>
          <w:i/>
        </w:rPr>
      </w:pPr>
    </w:p>
    <w:p w:rsidR="008A1D25" w:rsidRDefault="008A1D25" w:rsidP="008A1D25">
      <w:pPr>
        <w:ind w:left="709"/>
        <w:jc w:val="both"/>
        <w:rPr>
          <w:i/>
        </w:rPr>
      </w:pPr>
      <w:r>
        <w:rPr>
          <w:i/>
        </w:rPr>
        <w:t xml:space="preserve">Art. 1º Fica criado o Conselho Municipal do Meio Ambiente de Monte Carlo (CMMA), órgão deliberativo, normativo, consultivo e recursal, nos assuntos referentes à proteção e à preservação ambiental, no âmbito do Município de Monte Carlo. </w:t>
      </w:r>
    </w:p>
    <w:p w:rsidR="008A1D25" w:rsidRDefault="008A1D25" w:rsidP="008A1D25">
      <w:pPr>
        <w:spacing w:line="276" w:lineRule="auto"/>
        <w:jc w:val="both"/>
        <w:rPr>
          <w:rFonts w:eastAsia="Batang"/>
        </w:rPr>
      </w:pPr>
    </w:p>
    <w:p w:rsidR="008A1D25" w:rsidRDefault="008A1D25" w:rsidP="008A1D25">
      <w:pPr>
        <w:spacing w:line="276" w:lineRule="auto"/>
        <w:ind w:firstLine="708"/>
        <w:jc w:val="both"/>
        <w:rPr>
          <w:rFonts w:eastAsia="Batang"/>
        </w:rPr>
      </w:pPr>
      <w:r>
        <w:rPr>
          <w:rFonts w:eastAsia="Batang"/>
        </w:rPr>
        <w:t>Art. 2º O inciso XIV do art. 2º, da Lei nº 740, de 28 de junho de 2010, passará a vigorar com a seguinte redação:</w:t>
      </w:r>
    </w:p>
    <w:p w:rsidR="008A1D25" w:rsidRDefault="008A1D25" w:rsidP="008A1D25">
      <w:pPr>
        <w:spacing w:line="276" w:lineRule="auto"/>
        <w:ind w:firstLine="708"/>
        <w:jc w:val="both"/>
        <w:rPr>
          <w:rFonts w:eastAsia="Batang"/>
        </w:rPr>
      </w:pPr>
    </w:p>
    <w:p w:rsidR="008A1D25" w:rsidRDefault="008A1D25" w:rsidP="008A1D25">
      <w:pPr>
        <w:ind w:left="709"/>
        <w:jc w:val="both"/>
        <w:rPr>
          <w:i/>
        </w:rPr>
      </w:pPr>
      <w:r>
        <w:rPr>
          <w:i/>
        </w:rPr>
        <w:t>Art. 2º [...]</w:t>
      </w:r>
    </w:p>
    <w:p w:rsidR="008A1D25" w:rsidRDefault="008A1D25" w:rsidP="008A1D25">
      <w:pPr>
        <w:ind w:left="709"/>
        <w:jc w:val="both"/>
        <w:rPr>
          <w:i/>
        </w:rPr>
      </w:pPr>
      <w:r>
        <w:rPr>
          <w:i/>
        </w:rPr>
        <w:t>[...]</w:t>
      </w:r>
    </w:p>
    <w:p w:rsidR="008A1D25" w:rsidRDefault="008A1D25" w:rsidP="008A1D25">
      <w:pPr>
        <w:ind w:left="709"/>
        <w:jc w:val="both"/>
        <w:rPr>
          <w:i/>
        </w:rPr>
      </w:pPr>
      <w:r>
        <w:rPr>
          <w:i/>
        </w:rPr>
        <w:t>XIV - decidir sobre a utilização dos recursos captados no ambiental</w:t>
      </w:r>
      <w:proofErr w:type="gramStart"/>
      <w:r>
        <w:rPr>
          <w:i/>
        </w:rPr>
        <w:t xml:space="preserve">  </w:t>
      </w:r>
      <w:proofErr w:type="gramEnd"/>
      <w:r>
        <w:rPr>
          <w:i/>
        </w:rPr>
        <w:t>na gestão de projetos ambientais;</w:t>
      </w:r>
    </w:p>
    <w:p w:rsidR="008A1D25" w:rsidRDefault="008A1D25" w:rsidP="008A1D25">
      <w:pPr>
        <w:ind w:left="709"/>
        <w:jc w:val="both"/>
        <w:rPr>
          <w:i/>
        </w:rPr>
      </w:pPr>
    </w:p>
    <w:p w:rsidR="008A1D25" w:rsidRDefault="008A1D25" w:rsidP="008A1D25">
      <w:pPr>
        <w:spacing w:line="276" w:lineRule="auto"/>
        <w:ind w:firstLine="708"/>
        <w:jc w:val="both"/>
        <w:rPr>
          <w:rFonts w:eastAsia="Batang"/>
        </w:rPr>
      </w:pPr>
      <w:r>
        <w:rPr>
          <w:rFonts w:eastAsia="Batang"/>
        </w:rPr>
        <w:t>Art. 3º O art. 2º, da Lei nº 740, de 28 de junho de 2010, passará a vigorar acrescido do inciso XVI, com a seguinte redação:</w:t>
      </w:r>
    </w:p>
    <w:p w:rsidR="008A1D25" w:rsidRDefault="008A1D25" w:rsidP="008A1D25">
      <w:pPr>
        <w:spacing w:line="276" w:lineRule="auto"/>
        <w:ind w:firstLine="708"/>
        <w:jc w:val="both"/>
        <w:rPr>
          <w:rFonts w:eastAsia="Batang"/>
        </w:rPr>
      </w:pPr>
    </w:p>
    <w:p w:rsidR="008A1D25" w:rsidRDefault="008A1D25" w:rsidP="008A1D25">
      <w:pPr>
        <w:ind w:left="709"/>
        <w:jc w:val="both"/>
        <w:rPr>
          <w:i/>
        </w:rPr>
      </w:pPr>
      <w:r>
        <w:rPr>
          <w:i/>
        </w:rPr>
        <w:t>Art. 2º [...]</w:t>
      </w:r>
    </w:p>
    <w:p w:rsidR="008A1D25" w:rsidRDefault="008A1D25" w:rsidP="008A1D25">
      <w:pPr>
        <w:ind w:left="709"/>
        <w:jc w:val="both"/>
        <w:rPr>
          <w:i/>
        </w:rPr>
      </w:pPr>
      <w:r>
        <w:rPr>
          <w:i/>
        </w:rPr>
        <w:t>[...]</w:t>
      </w:r>
    </w:p>
    <w:p w:rsidR="008A1D25" w:rsidRDefault="008A1D25" w:rsidP="008A1D25">
      <w:pPr>
        <w:ind w:left="709"/>
        <w:jc w:val="both"/>
        <w:rPr>
          <w:i/>
        </w:rPr>
      </w:pPr>
      <w:r>
        <w:rPr>
          <w:i/>
        </w:rPr>
        <w:t>XVI - atuar como órgão superior recursal em processos administrativos que tratem de questões ambientais.</w:t>
      </w:r>
    </w:p>
    <w:p w:rsidR="008A1D25" w:rsidRDefault="008A1D25" w:rsidP="008A1D25">
      <w:pPr>
        <w:ind w:left="709"/>
        <w:jc w:val="both"/>
        <w:rPr>
          <w:i/>
        </w:rPr>
      </w:pPr>
    </w:p>
    <w:p w:rsidR="008A1D25" w:rsidRDefault="008A1D25" w:rsidP="008A1D25">
      <w:pPr>
        <w:spacing w:line="276" w:lineRule="auto"/>
        <w:ind w:firstLine="708"/>
        <w:jc w:val="both"/>
        <w:rPr>
          <w:rFonts w:eastAsia="Batang"/>
        </w:rPr>
      </w:pPr>
      <w:r>
        <w:rPr>
          <w:rFonts w:eastAsia="Batang"/>
        </w:rPr>
        <w:t xml:space="preserve">Art. 4º Os incisos III, IV, V e VI do art. 3º, da Lei nº 740, de 28 de junho de 2010, </w:t>
      </w:r>
      <w:proofErr w:type="gramStart"/>
      <w:r>
        <w:rPr>
          <w:rFonts w:eastAsia="Batang"/>
        </w:rPr>
        <w:t>passarão a vigorar</w:t>
      </w:r>
      <w:proofErr w:type="gramEnd"/>
      <w:r>
        <w:rPr>
          <w:rFonts w:eastAsia="Batang"/>
        </w:rPr>
        <w:t xml:space="preserve"> com as seguintes redações:</w:t>
      </w:r>
    </w:p>
    <w:p w:rsidR="008A1D25" w:rsidRDefault="008A1D25" w:rsidP="008A1D25">
      <w:pPr>
        <w:spacing w:line="276" w:lineRule="auto"/>
        <w:ind w:firstLine="708"/>
        <w:jc w:val="both"/>
        <w:rPr>
          <w:rFonts w:eastAsia="Batang"/>
        </w:rPr>
      </w:pPr>
    </w:p>
    <w:p w:rsidR="008A1D25" w:rsidRDefault="008A1D25" w:rsidP="008A1D25">
      <w:pPr>
        <w:ind w:left="709"/>
        <w:jc w:val="both"/>
        <w:rPr>
          <w:i/>
        </w:rPr>
      </w:pPr>
      <w:r>
        <w:rPr>
          <w:i/>
        </w:rPr>
        <w:t>Art. 3º [...]</w:t>
      </w:r>
    </w:p>
    <w:p w:rsidR="008A1D25" w:rsidRDefault="008A1D25" w:rsidP="008A1D25">
      <w:pPr>
        <w:ind w:left="709"/>
        <w:jc w:val="both"/>
        <w:rPr>
          <w:i/>
        </w:rPr>
      </w:pPr>
      <w:r>
        <w:rPr>
          <w:i/>
        </w:rPr>
        <w:t>[...]</w:t>
      </w:r>
    </w:p>
    <w:p w:rsidR="008A1D25" w:rsidRDefault="008A1D25" w:rsidP="008A1D25">
      <w:pPr>
        <w:ind w:left="709"/>
        <w:jc w:val="both"/>
        <w:rPr>
          <w:i/>
        </w:rPr>
      </w:pPr>
      <w:r>
        <w:rPr>
          <w:i/>
        </w:rPr>
        <w:t>III - um representante da Secretaria Municipal do Desenvolvimento Urbano, Meio Ambiente e Saneamento Ambiental;</w:t>
      </w:r>
    </w:p>
    <w:p w:rsidR="008A1D25" w:rsidRDefault="008A1D25" w:rsidP="008A1D25">
      <w:pPr>
        <w:ind w:left="709"/>
        <w:jc w:val="both"/>
        <w:rPr>
          <w:i/>
        </w:rPr>
      </w:pPr>
      <w:r>
        <w:rPr>
          <w:i/>
        </w:rPr>
        <w:t xml:space="preserve">IV - um representante de Associação de Pais e Professores devidamente constituída e registrada; </w:t>
      </w:r>
    </w:p>
    <w:p w:rsidR="008A1D25" w:rsidRDefault="008A1D25" w:rsidP="008A1D25">
      <w:pPr>
        <w:ind w:left="709"/>
        <w:jc w:val="both"/>
        <w:rPr>
          <w:i/>
        </w:rPr>
      </w:pPr>
      <w:r>
        <w:rPr>
          <w:i/>
        </w:rPr>
        <w:t>V - um representante da Câmara de Dirigentes Lojistas de Monte Carlo;</w:t>
      </w:r>
    </w:p>
    <w:p w:rsidR="008A1D25" w:rsidRDefault="008A1D25" w:rsidP="008A1D25">
      <w:pPr>
        <w:ind w:left="709"/>
        <w:jc w:val="both"/>
        <w:rPr>
          <w:i/>
        </w:rPr>
      </w:pPr>
      <w:r>
        <w:rPr>
          <w:i/>
        </w:rPr>
        <w:t>VI - um representante da Associação dos Bombeiros Comunitários;</w:t>
      </w:r>
    </w:p>
    <w:p w:rsidR="008A1D25" w:rsidRDefault="008A1D25" w:rsidP="008A1D25">
      <w:pPr>
        <w:ind w:left="709"/>
        <w:jc w:val="both"/>
        <w:rPr>
          <w:i/>
        </w:rPr>
      </w:pPr>
      <w:r>
        <w:rPr>
          <w:i/>
        </w:rPr>
        <w:t>VII – um representante de Associação de moradores de bairros;</w:t>
      </w:r>
    </w:p>
    <w:p w:rsidR="008A1D25" w:rsidRDefault="008A1D25" w:rsidP="008A1D25">
      <w:pPr>
        <w:ind w:left="709"/>
        <w:jc w:val="both"/>
        <w:rPr>
          <w:i/>
        </w:rPr>
      </w:pPr>
      <w:r>
        <w:rPr>
          <w:i/>
        </w:rPr>
        <w:t>[...]</w:t>
      </w:r>
    </w:p>
    <w:p w:rsidR="008A1D25" w:rsidRDefault="0033367D" w:rsidP="008A1D25">
      <w:pPr>
        <w:ind w:left="709"/>
        <w:jc w:val="both"/>
        <w:rPr>
          <w:i/>
        </w:rPr>
      </w:pPr>
      <w:r>
        <w:rPr>
          <w:i/>
        </w:rPr>
        <w:t xml:space="preserve"> Parágrafo único. Compete ao presidente o voto de desempate nas deliberações do conselho.</w:t>
      </w:r>
    </w:p>
    <w:p w:rsidR="0033367D" w:rsidRDefault="0033367D" w:rsidP="008A1D25">
      <w:pPr>
        <w:ind w:left="709"/>
        <w:jc w:val="both"/>
        <w:rPr>
          <w:i/>
        </w:rPr>
      </w:pPr>
    </w:p>
    <w:p w:rsidR="008A1D25" w:rsidRDefault="008A1D25" w:rsidP="008A1D25">
      <w:pPr>
        <w:spacing w:line="276" w:lineRule="auto"/>
        <w:ind w:firstLine="708"/>
        <w:jc w:val="both"/>
        <w:rPr>
          <w:rFonts w:eastAsia="Batang"/>
        </w:rPr>
      </w:pPr>
      <w:r>
        <w:rPr>
          <w:rFonts w:eastAsia="Batang"/>
        </w:rPr>
        <w:t xml:space="preserve">Art. 5º O art. 41 da Lei nº 1.131, de </w:t>
      </w:r>
      <w:proofErr w:type="gramStart"/>
      <w:r>
        <w:rPr>
          <w:rFonts w:eastAsia="Batang"/>
        </w:rPr>
        <w:t>7</w:t>
      </w:r>
      <w:proofErr w:type="gramEnd"/>
      <w:r>
        <w:rPr>
          <w:rFonts w:eastAsia="Batang"/>
        </w:rPr>
        <w:t xml:space="preserve"> de dezembro de 2018, passará a vigorar com a seguinte redação:</w:t>
      </w:r>
    </w:p>
    <w:p w:rsidR="008A1D25" w:rsidRDefault="008A1D25" w:rsidP="008A1D25">
      <w:pPr>
        <w:ind w:left="709"/>
        <w:jc w:val="both"/>
        <w:rPr>
          <w:i/>
        </w:rPr>
      </w:pPr>
    </w:p>
    <w:p w:rsidR="008A1D25" w:rsidRDefault="008A1D25" w:rsidP="008A1D25">
      <w:pPr>
        <w:ind w:left="709"/>
        <w:jc w:val="both"/>
        <w:rPr>
          <w:i/>
        </w:rPr>
      </w:pPr>
      <w:r>
        <w:rPr>
          <w:i/>
        </w:rPr>
        <w:t>Art. 41. O empreendedor terá um prazo de 20 (vinte) dias, contados a partir da data de comunicação da emissão ou do indeferimento de qualquer licença ou autorização para apresentar recurso ao Conselho Municipal do Meio Ambiente, que deverá responder ao questionamento de modo fundamentado, em um prazo de 60 (sessenta) dias.</w:t>
      </w:r>
    </w:p>
    <w:p w:rsidR="008A1D25" w:rsidRDefault="008A1D25" w:rsidP="008A1D25">
      <w:pPr>
        <w:ind w:left="709"/>
        <w:jc w:val="both"/>
        <w:rPr>
          <w:i/>
        </w:rPr>
      </w:pPr>
      <w:r>
        <w:rPr>
          <w:i/>
        </w:rPr>
        <w:lastRenderedPageBreak/>
        <w:t>Parágrafo único. O prazo previsto para manifestação do Conselho Municipal do Meio Ambiente será suspenso sempre que ocorrer a solicitação de estudos técnicos complementares para o empreendedor.</w:t>
      </w:r>
    </w:p>
    <w:p w:rsidR="008A1D25" w:rsidRDefault="008A1D25" w:rsidP="008A1D25">
      <w:pPr>
        <w:jc w:val="both"/>
        <w:rPr>
          <w:i/>
          <w:sz w:val="22"/>
        </w:rPr>
      </w:pPr>
    </w:p>
    <w:p w:rsidR="008A1D25" w:rsidRDefault="008A1D25" w:rsidP="008A1D25">
      <w:pPr>
        <w:spacing w:line="276" w:lineRule="auto"/>
        <w:ind w:firstLine="708"/>
        <w:jc w:val="both"/>
        <w:rPr>
          <w:rFonts w:eastAsia="Batang"/>
          <w:sz w:val="24"/>
        </w:rPr>
      </w:pPr>
      <w:r>
        <w:rPr>
          <w:rFonts w:eastAsia="Batang"/>
        </w:rPr>
        <w:t xml:space="preserve">Art. 6º O § 2º do art. 54, da Lei nº 1.132, de </w:t>
      </w:r>
      <w:proofErr w:type="gramStart"/>
      <w:r>
        <w:rPr>
          <w:rFonts w:eastAsia="Batang"/>
        </w:rPr>
        <w:t>7</w:t>
      </w:r>
      <w:proofErr w:type="gramEnd"/>
      <w:r>
        <w:rPr>
          <w:rFonts w:eastAsia="Batang"/>
        </w:rPr>
        <w:t xml:space="preserve"> de dezembro de 2018, passará a vigorar com a seguinte redação:</w:t>
      </w:r>
    </w:p>
    <w:p w:rsidR="008A1D25" w:rsidRDefault="008A1D25" w:rsidP="008A1D25">
      <w:pPr>
        <w:ind w:firstLine="708"/>
        <w:jc w:val="both"/>
        <w:rPr>
          <w:b/>
          <w:iCs/>
        </w:rPr>
      </w:pPr>
    </w:p>
    <w:p w:rsidR="008A1D25" w:rsidRDefault="008A1D25" w:rsidP="008A1D25">
      <w:pPr>
        <w:ind w:left="709"/>
        <w:jc w:val="both"/>
        <w:rPr>
          <w:i/>
        </w:rPr>
      </w:pPr>
      <w:r>
        <w:rPr>
          <w:i/>
        </w:rPr>
        <w:t>Art. 54 [...]</w:t>
      </w:r>
    </w:p>
    <w:p w:rsidR="008A1D25" w:rsidRDefault="008A1D25" w:rsidP="008A1D25">
      <w:pPr>
        <w:ind w:left="709"/>
        <w:jc w:val="both"/>
        <w:rPr>
          <w:i/>
        </w:rPr>
      </w:pPr>
      <w:r>
        <w:rPr>
          <w:i/>
        </w:rPr>
        <w:t>[...]</w:t>
      </w:r>
    </w:p>
    <w:p w:rsidR="008A1D25" w:rsidRDefault="008A1D25" w:rsidP="008A1D25">
      <w:pPr>
        <w:ind w:left="709"/>
        <w:jc w:val="both"/>
        <w:rPr>
          <w:i/>
        </w:rPr>
      </w:pPr>
      <w:r>
        <w:rPr>
          <w:i/>
        </w:rPr>
        <w:t xml:space="preserve">§ 2º Em situações em que a recuperação do dano ambiental mostrar-se impossível, deverá a autoridade ambiental fiscalizadora determinar com base em parecer </w:t>
      </w:r>
      <w:proofErr w:type="gramStart"/>
      <w:r>
        <w:rPr>
          <w:i/>
        </w:rPr>
        <w:t>técnico, a sua compensação</w:t>
      </w:r>
      <w:proofErr w:type="gramEnd"/>
      <w:r>
        <w:rPr>
          <w:i/>
        </w:rPr>
        <w:t xml:space="preserve"> ainda que financeira, cujo montante determinado deverá ser recolhido em qualquer agência bancária credenciada em favor do Município, mediante guia oficial, e deverá ser mantido em conta segregada, cuja aplicação somente poderá ocorrer após deliberação e aprovação do Conselho Municipal do Meio Ambiente.</w:t>
      </w:r>
    </w:p>
    <w:p w:rsidR="008A1D25" w:rsidRDefault="008A1D25" w:rsidP="008A1D25">
      <w:pPr>
        <w:ind w:left="709"/>
        <w:jc w:val="both"/>
        <w:rPr>
          <w:i/>
        </w:rPr>
      </w:pPr>
    </w:p>
    <w:p w:rsidR="008A1D25" w:rsidRDefault="008A1D25" w:rsidP="008A1D25">
      <w:pPr>
        <w:spacing w:line="276" w:lineRule="auto"/>
        <w:ind w:firstLine="708"/>
        <w:jc w:val="both"/>
        <w:rPr>
          <w:rFonts w:eastAsia="Batang"/>
        </w:rPr>
      </w:pPr>
      <w:r>
        <w:rPr>
          <w:rFonts w:eastAsia="Batang"/>
        </w:rPr>
        <w:t xml:space="preserve">Art. 7º O </w:t>
      </w:r>
      <w:r>
        <w:rPr>
          <w:rFonts w:eastAsia="Batang"/>
          <w:i/>
        </w:rPr>
        <w:t xml:space="preserve">caput </w:t>
      </w:r>
      <w:r>
        <w:rPr>
          <w:rFonts w:eastAsia="Batang"/>
        </w:rPr>
        <w:t xml:space="preserve">do art. 103, da Lei nº 1.132, de </w:t>
      </w:r>
      <w:proofErr w:type="gramStart"/>
      <w:r>
        <w:rPr>
          <w:rFonts w:eastAsia="Batang"/>
        </w:rPr>
        <w:t>7</w:t>
      </w:r>
      <w:proofErr w:type="gramEnd"/>
      <w:r>
        <w:rPr>
          <w:rFonts w:eastAsia="Batang"/>
        </w:rPr>
        <w:t xml:space="preserve"> de dezembro de 2018, passará a vigorar com a seguinte redação:</w:t>
      </w:r>
    </w:p>
    <w:p w:rsidR="008A1D25" w:rsidRDefault="008A1D25" w:rsidP="008A1D25">
      <w:pPr>
        <w:ind w:left="709"/>
        <w:jc w:val="both"/>
        <w:rPr>
          <w:i/>
        </w:rPr>
      </w:pPr>
    </w:p>
    <w:p w:rsidR="008A1D25" w:rsidRDefault="008A1D25" w:rsidP="008A1D25">
      <w:pPr>
        <w:ind w:left="709"/>
        <w:jc w:val="both"/>
        <w:rPr>
          <w:i/>
        </w:rPr>
      </w:pPr>
      <w:r>
        <w:rPr>
          <w:i/>
        </w:rPr>
        <w:t>Art. 103. Da decisão proferida pela autoridade ambiental fiscalizadora caberá recurso no prazo de 20 (vinte) dias ao Conselho Municipal do Meio Ambiente, que é o órgão superior recursal no âmbito do Município.</w:t>
      </w:r>
    </w:p>
    <w:p w:rsidR="008A1D25" w:rsidRDefault="008A1D25" w:rsidP="008A1D25">
      <w:pPr>
        <w:ind w:left="709"/>
        <w:jc w:val="both"/>
        <w:rPr>
          <w:i/>
        </w:rPr>
      </w:pPr>
      <w:r>
        <w:rPr>
          <w:i/>
        </w:rPr>
        <w:t>[...]</w:t>
      </w:r>
    </w:p>
    <w:p w:rsidR="008A1D25" w:rsidRDefault="008A1D25" w:rsidP="008A1D25">
      <w:pPr>
        <w:ind w:left="709"/>
        <w:jc w:val="both"/>
        <w:rPr>
          <w:i/>
        </w:rPr>
      </w:pPr>
    </w:p>
    <w:p w:rsidR="008A1D25" w:rsidRDefault="008A1D25" w:rsidP="008A1D25">
      <w:pPr>
        <w:spacing w:line="276" w:lineRule="auto"/>
        <w:ind w:firstLine="708"/>
        <w:jc w:val="both"/>
        <w:rPr>
          <w:rFonts w:eastAsia="Batang"/>
        </w:rPr>
      </w:pPr>
      <w:r>
        <w:rPr>
          <w:rFonts w:eastAsia="Batang"/>
        </w:rPr>
        <w:t xml:space="preserve">Art. 8º O </w:t>
      </w:r>
      <w:r>
        <w:rPr>
          <w:rFonts w:eastAsia="Batang"/>
          <w:i/>
        </w:rPr>
        <w:t xml:space="preserve">caput </w:t>
      </w:r>
      <w:r>
        <w:rPr>
          <w:rFonts w:eastAsia="Batang"/>
        </w:rPr>
        <w:t xml:space="preserve">do art. 109, da Lei nº 1.132, de </w:t>
      </w:r>
      <w:proofErr w:type="gramStart"/>
      <w:r>
        <w:rPr>
          <w:rFonts w:eastAsia="Batang"/>
        </w:rPr>
        <w:t>7</w:t>
      </w:r>
      <w:proofErr w:type="gramEnd"/>
      <w:r>
        <w:rPr>
          <w:rFonts w:eastAsia="Batang"/>
        </w:rPr>
        <w:t xml:space="preserve"> de dezembro de 2018, passará a vigorar com a seguinte redação:</w:t>
      </w:r>
    </w:p>
    <w:p w:rsidR="008A1D25" w:rsidRDefault="008A1D25" w:rsidP="008A1D25">
      <w:pPr>
        <w:ind w:left="709"/>
        <w:jc w:val="both"/>
        <w:rPr>
          <w:i/>
        </w:rPr>
      </w:pPr>
    </w:p>
    <w:p w:rsidR="008A1D25" w:rsidRDefault="008A1D25" w:rsidP="008A1D25">
      <w:pPr>
        <w:ind w:left="709"/>
        <w:jc w:val="both"/>
        <w:rPr>
          <w:i/>
        </w:rPr>
      </w:pPr>
      <w:r>
        <w:rPr>
          <w:i/>
        </w:rPr>
        <w:t>Art. 109. Os valores correspondentes às sanções aplicadas deverão ser recolhidos em qualquer agência bancária credenciada em favor do Município, mediante guia oficial, e deverão ser mantidos em conta segregada, cuja aplicação somente poderá ocorrer após deliberação e aprovação do Conselho Municipal do Meio Ambiente.</w:t>
      </w:r>
    </w:p>
    <w:p w:rsidR="008A1D25" w:rsidRDefault="008A1D25" w:rsidP="008A1D25">
      <w:pPr>
        <w:ind w:left="709"/>
        <w:jc w:val="both"/>
        <w:rPr>
          <w:i/>
        </w:rPr>
      </w:pPr>
    </w:p>
    <w:p w:rsidR="008A1D25" w:rsidRDefault="008A1D25" w:rsidP="008A1D25">
      <w:pPr>
        <w:ind w:firstLine="708"/>
        <w:jc w:val="both"/>
        <w:rPr>
          <w:iCs/>
        </w:rPr>
      </w:pPr>
      <w:r>
        <w:rPr>
          <w:iCs/>
        </w:rPr>
        <w:t>Art. 9º Ficam revogados o parágrafo único do art. 1º e os</w:t>
      </w:r>
      <w:r>
        <w:rPr>
          <w:rFonts w:eastAsia="Batang"/>
        </w:rPr>
        <w:t xml:space="preserve"> incisos IX e X do art. 3º,</w:t>
      </w:r>
      <w:r>
        <w:rPr>
          <w:iCs/>
        </w:rPr>
        <w:t xml:space="preserve"> todos </w:t>
      </w:r>
      <w:r>
        <w:rPr>
          <w:rFonts w:eastAsia="Batang"/>
        </w:rPr>
        <w:t>da Lei nº 740, de 28 de junho de 2010.</w:t>
      </w:r>
    </w:p>
    <w:p w:rsidR="008A1D25" w:rsidRDefault="008A1D25" w:rsidP="008A1D25">
      <w:pPr>
        <w:ind w:firstLine="708"/>
        <w:jc w:val="both"/>
        <w:rPr>
          <w:iCs/>
        </w:rPr>
      </w:pPr>
    </w:p>
    <w:p w:rsidR="008A1D25" w:rsidRDefault="008A1D25" w:rsidP="008A1D25">
      <w:pPr>
        <w:ind w:firstLine="708"/>
        <w:jc w:val="both"/>
        <w:rPr>
          <w:iCs/>
        </w:rPr>
      </w:pPr>
      <w:r>
        <w:t>Art. 10. Esta Lei entra em vigor na data da sua publicação</w:t>
      </w:r>
      <w:r>
        <w:rPr>
          <w:iCs/>
        </w:rPr>
        <w:t>.</w:t>
      </w:r>
    </w:p>
    <w:p w:rsidR="008A1D25" w:rsidRDefault="008A1D25" w:rsidP="008A1D25"/>
    <w:p w:rsidR="008A1D25" w:rsidRDefault="008A1D25" w:rsidP="008A1D25">
      <w:pPr>
        <w:ind w:firstLine="708"/>
        <w:outlineLvl w:val="0"/>
      </w:pPr>
      <w:r>
        <w:t>Monte Carlo, 22 de</w:t>
      </w:r>
      <w:proofErr w:type="gramStart"/>
      <w:r>
        <w:t xml:space="preserve">  </w:t>
      </w:r>
      <w:proofErr w:type="gramEnd"/>
      <w:r>
        <w:t>novembro de 2019.</w:t>
      </w:r>
    </w:p>
    <w:p w:rsidR="008A1D25" w:rsidRDefault="008A1D25" w:rsidP="008A1D25"/>
    <w:p w:rsidR="008A1D25" w:rsidRDefault="008A1D25" w:rsidP="008A1D25"/>
    <w:p w:rsidR="008A1D25" w:rsidRDefault="008A1D25" w:rsidP="008A1D25">
      <w:pPr>
        <w:jc w:val="center"/>
        <w:rPr>
          <w:b/>
        </w:rPr>
      </w:pPr>
    </w:p>
    <w:p w:rsidR="008A1D25" w:rsidRDefault="008A1D25" w:rsidP="008A1D25">
      <w:pPr>
        <w:jc w:val="center"/>
        <w:outlineLvl w:val="0"/>
        <w:rPr>
          <w:b/>
        </w:rPr>
      </w:pPr>
      <w:r>
        <w:rPr>
          <w:b/>
        </w:rPr>
        <w:t>SONIA SALETE VEDOVATTO</w:t>
      </w:r>
    </w:p>
    <w:p w:rsidR="008A1D25" w:rsidRDefault="008A1D25" w:rsidP="008A1D25">
      <w:pPr>
        <w:jc w:val="center"/>
        <w:rPr>
          <w:b/>
        </w:rPr>
      </w:pPr>
      <w:r>
        <w:rPr>
          <w:b/>
        </w:rPr>
        <w:t>Prefeita</w:t>
      </w:r>
    </w:p>
    <w:p w:rsidR="00F94CB2" w:rsidRPr="00994822" w:rsidRDefault="00F94CB2" w:rsidP="00994822">
      <w:pPr>
        <w:rPr>
          <w:szCs w:val="24"/>
        </w:rPr>
      </w:pPr>
    </w:p>
    <w:sectPr w:rsidR="00F94CB2" w:rsidRPr="00994822" w:rsidSect="00504904">
      <w:pgSz w:w="11906" w:h="16838"/>
      <w:pgMar w:top="2722" w:right="1304" w:bottom="170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E6768C"/>
    <w:rsid w:val="0000094D"/>
    <w:rsid w:val="0002305D"/>
    <w:rsid w:val="00026648"/>
    <w:rsid w:val="000532AD"/>
    <w:rsid w:val="000553BD"/>
    <w:rsid w:val="00056E87"/>
    <w:rsid w:val="0007408C"/>
    <w:rsid w:val="000C31E8"/>
    <w:rsid w:val="000E2C1C"/>
    <w:rsid w:val="000E355D"/>
    <w:rsid w:val="000F0158"/>
    <w:rsid w:val="000F5B04"/>
    <w:rsid w:val="00124028"/>
    <w:rsid w:val="001448BF"/>
    <w:rsid w:val="00152AAB"/>
    <w:rsid w:val="00167D92"/>
    <w:rsid w:val="00182686"/>
    <w:rsid w:val="001C7858"/>
    <w:rsid w:val="001D1933"/>
    <w:rsid w:val="001E5E2B"/>
    <w:rsid w:val="001F4271"/>
    <w:rsid w:val="00221BC8"/>
    <w:rsid w:val="00223058"/>
    <w:rsid w:val="00233702"/>
    <w:rsid w:val="00235401"/>
    <w:rsid w:val="00253DC3"/>
    <w:rsid w:val="00282A1B"/>
    <w:rsid w:val="00297FB1"/>
    <w:rsid w:val="002F327B"/>
    <w:rsid w:val="00300B06"/>
    <w:rsid w:val="003059F0"/>
    <w:rsid w:val="00306555"/>
    <w:rsid w:val="0030742D"/>
    <w:rsid w:val="00313A0E"/>
    <w:rsid w:val="0033367D"/>
    <w:rsid w:val="00342E6F"/>
    <w:rsid w:val="0036675A"/>
    <w:rsid w:val="00381018"/>
    <w:rsid w:val="003906D3"/>
    <w:rsid w:val="003937A9"/>
    <w:rsid w:val="003D27D5"/>
    <w:rsid w:val="003E0601"/>
    <w:rsid w:val="003E7D99"/>
    <w:rsid w:val="00400B70"/>
    <w:rsid w:val="00401252"/>
    <w:rsid w:val="00406D7D"/>
    <w:rsid w:val="00416880"/>
    <w:rsid w:val="00424020"/>
    <w:rsid w:val="0042571A"/>
    <w:rsid w:val="00427EC2"/>
    <w:rsid w:val="004456D7"/>
    <w:rsid w:val="00454C21"/>
    <w:rsid w:val="004762B8"/>
    <w:rsid w:val="004D38FA"/>
    <w:rsid w:val="004E2EA8"/>
    <w:rsid w:val="004E3858"/>
    <w:rsid w:val="004F42F3"/>
    <w:rsid w:val="00504904"/>
    <w:rsid w:val="00526024"/>
    <w:rsid w:val="00551AD2"/>
    <w:rsid w:val="00565A41"/>
    <w:rsid w:val="005917C3"/>
    <w:rsid w:val="005D04EC"/>
    <w:rsid w:val="005F139A"/>
    <w:rsid w:val="005F7018"/>
    <w:rsid w:val="005F70FB"/>
    <w:rsid w:val="0061291B"/>
    <w:rsid w:val="00620497"/>
    <w:rsid w:val="006363CF"/>
    <w:rsid w:val="00651222"/>
    <w:rsid w:val="006623DB"/>
    <w:rsid w:val="00662FF8"/>
    <w:rsid w:val="00664848"/>
    <w:rsid w:val="00670C08"/>
    <w:rsid w:val="0068577F"/>
    <w:rsid w:val="006A7A80"/>
    <w:rsid w:val="006E555F"/>
    <w:rsid w:val="007049A9"/>
    <w:rsid w:val="00720910"/>
    <w:rsid w:val="00731286"/>
    <w:rsid w:val="00734B4E"/>
    <w:rsid w:val="00763C4C"/>
    <w:rsid w:val="00770DA5"/>
    <w:rsid w:val="007A07CD"/>
    <w:rsid w:val="007B4E71"/>
    <w:rsid w:val="007C31DC"/>
    <w:rsid w:val="007C3972"/>
    <w:rsid w:val="007D789A"/>
    <w:rsid w:val="007E054E"/>
    <w:rsid w:val="007E2C3D"/>
    <w:rsid w:val="007F19C5"/>
    <w:rsid w:val="008000D6"/>
    <w:rsid w:val="00820594"/>
    <w:rsid w:val="00822D66"/>
    <w:rsid w:val="00827E09"/>
    <w:rsid w:val="008449F7"/>
    <w:rsid w:val="00866741"/>
    <w:rsid w:val="008952C2"/>
    <w:rsid w:val="008A0502"/>
    <w:rsid w:val="008A1D25"/>
    <w:rsid w:val="008B00D2"/>
    <w:rsid w:val="008B12E6"/>
    <w:rsid w:val="008B4F40"/>
    <w:rsid w:val="008C04DF"/>
    <w:rsid w:val="008D6BB6"/>
    <w:rsid w:val="008E3254"/>
    <w:rsid w:val="008E419F"/>
    <w:rsid w:val="00905E6F"/>
    <w:rsid w:val="00911EF9"/>
    <w:rsid w:val="00920719"/>
    <w:rsid w:val="00944969"/>
    <w:rsid w:val="009527E5"/>
    <w:rsid w:val="00954FE6"/>
    <w:rsid w:val="009769D0"/>
    <w:rsid w:val="00987D32"/>
    <w:rsid w:val="00990D9F"/>
    <w:rsid w:val="00993D65"/>
    <w:rsid w:val="00994822"/>
    <w:rsid w:val="009A2C1D"/>
    <w:rsid w:val="009B6A88"/>
    <w:rsid w:val="009D6689"/>
    <w:rsid w:val="00A34861"/>
    <w:rsid w:val="00A407BC"/>
    <w:rsid w:val="00A41886"/>
    <w:rsid w:val="00A43640"/>
    <w:rsid w:val="00A51191"/>
    <w:rsid w:val="00A66653"/>
    <w:rsid w:val="00A73F21"/>
    <w:rsid w:val="00A84190"/>
    <w:rsid w:val="00AC15C3"/>
    <w:rsid w:val="00AD79AD"/>
    <w:rsid w:val="00AF69A9"/>
    <w:rsid w:val="00B20197"/>
    <w:rsid w:val="00B237F9"/>
    <w:rsid w:val="00B508FA"/>
    <w:rsid w:val="00BA4206"/>
    <w:rsid w:val="00BB2677"/>
    <w:rsid w:val="00BB3752"/>
    <w:rsid w:val="00BB4215"/>
    <w:rsid w:val="00BB500D"/>
    <w:rsid w:val="00BD1B0F"/>
    <w:rsid w:val="00BE73E2"/>
    <w:rsid w:val="00C173B8"/>
    <w:rsid w:val="00C2546D"/>
    <w:rsid w:val="00C40658"/>
    <w:rsid w:val="00C452A7"/>
    <w:rsid w:val="00C51E98"/>
    <w:rsid w:val="00C77115"/>
    <w:rsid w:val="00C829D5"/>
    <w:rsid w:val="00C87088"/>
    <w:rsid w:val="00C90AA9"/>
    <w:rsid w:val="00CA7392"/>
    <w:rsid w:val="00CB456F"/>
    <w:rsid w:val="00CC59F3"/>
    <w:rsid w:val="00CE5156"/>
    <w:rsid w:val="00CF072C"/>
    <w:rsid w:val="00D05E15"/>
    <w:rsid w:val="00D17EA6"/>
    <w:rsid w:val="00D63EBB"/>
    <w:rsid w:val="00D82517"/>
    <w:rsid w:val="00D8655F"/>
    <w:rsid w:val="00D90D38"/>
    <w:rsid w:val="00DC407E"/>
    <w:rsid w:val="00DC5167"/>
    <w:rsid w:val="00DE29AE"/>
    <w:rsid w:val="00E20BA9"/>
    <w:rsid w:val="00E41A5A"/>
    <w:rsid w:val="00E42C77"/>
    <w:rsid w:val="00E45F46"/>
    <w:rsid w:val="00E45FD3"/>
    <w:rsid w:val="00E47B46"/>
    <w:rsid w:val="00E55D0D"/>
    <w:rsid w:val="00E57025"/>
    <w:rsid w:val="00E663BF"/>
    <w:rsid w:val="00E6768C"/>
    <w:rsid w:val="00E73108"/>
    <w:rsid w:val="00E8507B"/>
    <w:rsid w:val="00E85BA9"/>
    <w:rsid w:val="00E930CD"/>
    <w:rsid w:val="00E974CA"/>
    <w:rsid w:val="00EA6322"/>
    <w:rsid w:val="00EB4471"/>
    <w:rsid w:val="00EB737E"/>
    <w:rsid w:val="00EC6F56"/>
    <w:rsid w:val="00F00135"/>
    <w:rsid w:val="00F01756"/>
    <w:rsid w:val="00F40A7F"/>
    <w:rsid w:val="00F4119D"/>
    <w:rsid w:val="00F504C5"/>
    <w:rsid w:val="00F72E22"/>
    <w:rsid w:val="00F81139"/>
    <w:rsid w:val="00F8333A"/>
    <w:rsid w:val="00F844CB"/>
    <w:rsid w:val="00F859A7"/>
    <w:rsid w:val="00F94CB2"/>
    <w:rsid w:val="00FA00A2"/>
    <w:rsid w:val="00FA5E38"/>
    <w:rsid w:val="00FB5D63"/>
    <w:rsid w:val="00FD3B5A"/>
    <w:rsid w:val="00FE58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8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A00A2"/>
    <w:pPr>
      <w:keepNext/>
      <w:spacing w:before="240" w:after="60"/>
      <w:jc w:val="both"/>
      <w:outlineLvl w:val="0"/>
    </w:pPr>
    <w:rPr>
      <w:rFonts w:ascii="Arial" w:hAnsi="Arial"/>
      <w:b/>
      <w:kern w:val="28"/>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rsid w:val="00E6768C"/>
    <w:pPr>
      <w:ind w:right="-568" w:firstLine="1701"/>
      <w:jc w:val="both"/>
    </w:pPr>
    <w:rPr>
      <w:sz w:val="24"/>
    </w:rPr>
  </w:style>
  <w:style w:type="character" w:customStyle="1" w:styleId="Recuodecorpodetexto2Char">
    <w:name w:val="Recuo de corpo de texto 2 Char"/>
    <w:basedOn w:val="Fontepargpadro"/>
    <w:link w:val="Recuodecorpodetexto2"/>
    <w:rsid w:val="00E6768C"/>
    <w:rPr>
      <w:rFonts w:ascii="Times New Roman" w:eastAsia="Times New Roman" w:hAnsi="Times New Roman" w:cs="Times New Roman"/>
      <w:sz w:val="24"/>
      <w:szCs w:val="20"/>
      <w:lang w:eastAsia="pt-BR"/>
    </w:rPr>
  </w:style>
  <w:style w:type="character" w:styleId="Forte">
    <w:name w:val="Strong"/>
    <w:basedOn w:val="Fontepargpadro"/>
    <w:qFormat/>
    <w:rsid w:val="00E6768C"/>
    <w:rPr>
      <w:b/>
    </w:rPr>
  </w:style>
  <w:style w:type="paragraph" w:styleId="SemEspaamento">
    <w:name w:val="No Spacing"/>
    <w:uiPriority w:val="1"/>
    <w:qFormat/>
    <w:rsid w:val="001D1933"/>
    <w:pPr>
      <w:spacing w:after="0" w:line="240" w:lineRule="auto"/>
    </w:pPr>
    <w:rPr>
      <w:rFonts w:eastAsiaTheme="minorEastAsia"/>
      <w:lang w:eastAsia="pt-BR"/>
    </w:rPr>
  </w:style>
  <w:style w:type="paragraph" w:styleId="MapadoDocumento">
    <w:name w:val="Document Map"/>
    <w:basedOn w:val="Normal"/>
    <w:link w:val="MapadoDocumentoChar"/>
    <w:uiPriority w:val="99"/>
    <w:semiHidden/>
    <w:unhideWhenUsed/>
    <w:rsid w:val="00BB2677"/>
    <w:rPr>
      <w:sz w:val="24"/>
      <w:szCs w:val="24"/>
    </w:rPr>
  </w:style>
  <w:style w:type="character" w:customStyle="1" w:styleId="MapadoDocumentoChar">
    <w:name w:val="Mapa do Documento Char"/>
    <w:basedOn w:val="Fontepargpadro"/>
    <w:link w:val="MapadoDocumento"/>
    <w:uiPriority w:val="99"/>
    <w:semiHidden/>
    <w:rsid w:val="00BB2677"/>
    <w:rPr>
      <w:rFonts w:ascii="Times New Roman" w:eastAsia="Times New Roman" w:hAnsi="Times New Roman" w:cs="Times New Roman"/>
      <w:sz w:val="24"/>
      <w:szCs w:val="24"/>
      <w:lang w:eastAsia="pt-BR"/>
    </w:rPr>
  </w:style>
  <w:style w:type="paragraph" w:customStyle="1" w:styleId="Monog1texto">
    <w:name w:val="Monog_1_texto"/>
    <w:qFormat/>
    <w:rsid w:val="00DC407E"/>
    <w:pPr>
      <w:widowControl w:val="0"/>
      <w:spacing w:after="0" w:line="360" w:lineRule="auto"/>
      <w:ind w:firstLine="851"/>
      <w:jc w:val="both"/>
    </w:pPr>
    <w:rPr>
      <w:rFonts w:ascii="Times New Roman" w:eastAsia="Times New Roman" w:hAnsi="Times New Roman" w:cs="Times New Roman"/>
      <w:sz w:val="24"/>
      <w:szCs w:val="24"/>
      <w:lang w:eastAsia="pt-BR"/>
    </w:rPr>
  </w:style>
  <w:style w:type="paragraph" w:styleId="Ttulo">
    <w:name w:val="Title"/>
    <w:basedOn w:val="Normal"/>
    <w:link w:val="TtuloChar"/>
    <w:qFormat/>
    <w:rsid w:val="00DC407E"/>
    <w:pPr>
      <w:jc w:val="center"/>
    </w:pPr>
    <w:rPr>
      <w:rFonts w:eastAsia="Calibri"/>
      <w:b/>
      <w:bCs/>
      <w:sz w:val="24"/>
      <w:szCs w:val="24"/>
    </w:rPr>
  </w:style>
  <w:style w:type="character" w:customStyle="1" w:styleId="TtuloChar">
    <w:name w:val="Título Char"/>
    <w:basedOn w:val="Fontepargpadro"/>
    <w:link w:val="Ttulo"/>
    <w:rsid w:val="00DC407E"/>
    <w:rPr>
      <w:rFonts w:ascii="Times New Roman" w:eastAsia="Calibri" w:hAnsi="Times New Roman" w:cs="Times New Roman"/>
      <w:b/>
      <w:bCs/>
      <w:sz w:val="24"/>
      <w:szCs w:val="24"/>
      <w:lang w:eastAsia="pt-BR"/>
    </w:rPr>
  </w:style>
  <w:style w:type="paragraph" w:customStyle="1" w:styleId="Monog8ttuloparecer">
    <w:name w:val="Monog_8_título_parecer"/>
    <w:basedOn w:val="Normal"/>
    <w:link w:val="Monog8ttuloparecerChar"/>
    <w:qFormat/>
    <w:rsid w:val="00DC407E"/>
    <w:pPr>
      <w:widowControl w:val="0"/>
      <w:spacing w:line="360" w:lineRule="auto"/>
      <w:contextualSpacing/>
      <w:jc w:val="both"/>
    </w:pPr>
    <w:rPr>
      <w:rFonts w:eastAsia="Calibri"/>
      <w:b/>
      <w:i/>
      <w:sz w:val="24"/>
      <w:szCs w:val="22"/>
    </w:rPr>
  </w:style>
  <w:style w:type="character" w:customStyle="1" w:styleId="Monog8ttuloparecerChar">
    <w:name w:val="Monog_8_título_parecer Char"/>
    <w:link w:val="Monog8ttuloparecer"/>
    <w:rsid w:val="00DC407E"/>
    <w:rPr>
      <w:rFonts w:ascii="Times New Roman" w:eastAsia="Calibri" w:hAnsi="Times New Roman" w:cs="Times New Roman"/>
      <w:b/>
      <w:i/>
      <w:sz w:val="24"/>
      <w:lang w:eastAsia="pt-BR"/>
    </w:rPr>
  </w:style>
  <w:style w:type="paragraph" w:styleId="Textodebalo">
    <w:name w:val="Balloon Text"/>
    <w:basedOn w:val="Normal"/>
    <w:link w:val="TextodebaloChar"/>
    <w:uiPriority w:val="99"/>
    <w:semiHidden/>
    <w:unhideWhenUsed/>
    <w:rsid w:val="00E45FD3"/>
    <w:rPr>
      <w:rFonts w:ascii="Tahoma" w:hAnsi="Tahoma" w:cs="Tahoma"/>
      <w:sz w:val="16"/>
      <w:szCs w:val="16"/>
    </w:rPr>
  </w:style>
  <w:style w:type="character" w:customStyle="1" w:styleId="TextodebaloChar">
    <w:name w:val="Texto de balão Char"/>
    <w:basedOn w:val="Fontepargpadro"/>
    <w:link w:val="Textodebalo"/>
    <w:uiPriority w:val="99"/>
    <w:semiHidden/>
    <w:rsid w:val="00E45FD3"/>
    <w:rPr>
      <w:rFonts w:ascii="Tahoma" w:eastAsia="Times New Roman" w:hAnsi="Tahoma" w:cs="Tahoma"/>
      <w:sz w:val="16"/>
      <w:szCs w:val="16"/>
      <w:lang w:eastAsia="pt-BR"/>
    </w:rPr>
  </w:style>
  <w:style w:type="paragraph" w:styleId="Corpodetexto">
    <w:name w:val="Body Text"/>
    <w:basedOn w:val="Normal"/>
    <w:link w:val="CorpodetextoChar"/>
    <w:uiPriority w:val="99"/>
    <w:semiHidden/>
    <w:unhideWhenUsed/>
    <w:rsid w:val="00FA00A2"/>
    <w:pPr>
      <w:spacing w:after="120"/>
    </w:pPr>
  </w:style>
  <w:style w:type="character" w:customStyle="1" w:styleId="CorpodetextoChar">
    <w:name w:val="Corpo de texto Char"/>
    <w:basedOn w:val="Fontepargpadro"/>
    <w:link w:val="Corpodetexto"/>
    <w:uiPriority w:val="99"/>
    <w:semiHidden/>
    <w:rsid w:val="00FA00A2"/>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FA00A2"/>
    <w:rPr>
      <w:rFonts w:ascii="Arial" w:eastAsia="Times New Roman" w:hAnsi="Arial" w:cs="Times New Roman"/>
      <w:b/>
      <w:kern w:val="28"/>
      <w:sz w:val="28"/>
      <w:szCs w:val="20"/>
      <w:lang w:eastAsia="pt-BR"/>
    </w:rPr>
  </w:style>
  <w:style w:type="paragraph" w:styleId="Recuodecorpodetexto">
    <w:name w:val="Body Text Indent"/>
    <w:basedOn w:val="Normal"/>
    <w:link w:val="RecuodecorpodetextoChar"/>
    <w:uiPriority w:val="99"/>
    <w:semiHidden/>
    <w:unhideWhenUsed/>
    <w:rsid w:val="005F7018"/>
    <w:pPr>
      <w:spacing w:after="120"/>
      <w:ind w:left="283"/>
    </w:pPr>
  </w:style>
  <w:style w:type="character" w:customStyle="1" w:styleId="RecuodecorpodetextoChar">
    <w:name w:val="Recuo de corpo de texto Char"/>
    <w:basedOn w:val="Fontepargpadro"/>
    <w:link w:val="Recuodecorpodetexto"/>
    <w:uiPriority w:val="99"/>
    <w:semiHidden/>
    <w:rsid w:val="005F7018"/>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8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A00A2"/>
    <w:pPr>
      <w:keepNext/>
      <w:spacing w:before="240" w:after="60"/>
      <w:jc w:val="both"/>
      <w:outlineLvl w:val="0"/>
    </w:pPr>
    <w:rPr>
      <w:rFonts w:ascii="Arial" w:hAnsi="Arial"/>
      <w:b/>
      <w:kern w:val="28"/>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rsid w:val="00E6768C"/>
    <w:pPr>
      <w:ind w:right="-568" w:firstLine="1701"/>
      <w:jc w:val="both"/>
    </w:pPr>
    <w:rPr>
      <w:sz w:val="24"/>
    </w:rPr>
  </w:style>
  <w:style w:type="character" w:customStyle="1" w:styleId="Recuodecorpodetexto2Char">
    <w:name w:val="Recuo de corpo de texto 2 Char"/>
    <w:basedOn w:val="Fontepargpadro"/>
    <w:link w:val="Recuodecorpodetexto2"/>
    <w:rsid w:val="00E6768C"/>
    <w:rPr>
      <w:rFonts w:ascii="Times New Roman" w:eastAsia="Times New Roman" w:hAnsi="Times New Roman" w:cs="Times New Roman"/>
      <w:sz w:val="24"/>
      <w:szCs w:val="20"/>
      <w:lang w:eastAsia="pt-BR"/>
    </w:rPr>
  </w:style>
  <w:style w:type="character" w:styleId="Forte">
    <w:name w:val="Strong"/>
    <w:basedOn w:val="Fontepargpadro"/>
    <w:qFormat/>
    <w:rsid w:val="00E6768C"/>
    <w:rPr>
      <w:b/>
    </w:rPr>
  </w:style>
  <w:style w:type="paragraph" w:styleId="SemEspaamento">
    <w:name w:val="No Spacing"/>
    <w:uiPriority w:val="1"/>
    <w:qFormat/>
    <w:rsid w:val="001D1933"/>
    <w:pPr>
      <w:spacing w:after="0" w:line="240" w:lineRule="auto"/>
    </w:pPr>
    <w:rPr>
      <w:rFonts w:eastAsiaTheme="minorEastAsia"/>
      <w:lang w:eastAsia="pt-BR"/>
    </w:rPr>
  </w:style>
  <w:style w:type="paragraph" w:styleId="MapadoDocumento">
    <w:name w:val="Document Map"/>
    <w:basedOn w:val="Normal"/>
    <w:link w:val="MapadoDocumentoChar"/>
    <w:uiPriority w:val="99"/>
    <w:semiHidden/>
    <w:unhideWhenUsed/>
    <w:rsid w:val="00BB2677"/>
    <w:rPr>
      <w:sz w:val="24"/>
      <w:szCs w:val="24"/>
    </w:rPr>
  </w:style>
  <w:style w:type="character" w:customStyle="1" w:styleId="MapadoDocumentoChar">
    <w:name w:val="Mapa do Documento Char"/>
    <w:basedOn w:val="Fontepargpadro"/>
    <w:link w:val="MapadoDocumento"/>
    <w:uiPriority w:val="99"/>
    <w:semiHidden/>
    <w:rsid w:val="00BB2677"/>
    <w:rPr>
      <w:rFonts w:ascii="Times New Roman" w:eastAsia="Times New Roman" w:hAnsi="Times New Roman" w:cs="Times New Roman"/>
      <w:sz w:val="24"/>
      <w:szCs w:val="24"/>
      <w:lang w:eastAsia="pt-BR"/>
    </w:rPr>
  </w:style>
  <w:style w:type="paragraph" w:customStyle="1" w:styleId="Monog1texto">
    <w:name w:val="Monog_1_texto"/>
    <w:qFormat/>
    <w:rsid w:val="00DC407E"/>
    <w:pPr>
      <w:widowControl w:val="0"/>
      <w:spacing w:after="0" w:line="360" w:lineRule="auto"/>
      <w:ind w:firstLine="851"/>
      <w:jc w:val="both"/>
    </w:pPr>
    <w:rPr>
      <w:rFonts w:ascii="Times New Roman" w:eastAsia="Times New Roman" w:hAnsi="Times New Roman" w:cs="Times New Roman"/>
      <w:sz w:val="24"/>
      <w:szCs w:val="24"/>
      <w:lang w:eastAsia="pt-BR"/>
    </w:rPr>
  </w:style>
  <w:style w:type="paragraph" w:styleId="Ttulo">
    <w:name w:val="Title"/>
    <w:basedOn w:val="Normal"/>
    <w:link w:val="TtuloChar"/>
    <w:qFormat/>
    <w:rsid w:val="00DC407E"/>
    <w:pPr>
      <w:jc w:val="center"/>
    </w:pPr>
    <w:rPr>
      <w:rFonts w:eastAsia="Calibri"/>
      <w:b/>
      <w:bCs/>
      <w:sz w:val="24"/>
      <w:szCs w:val="24"/>
    </w:rPr>
  </w:style>
  <w:style w:type="character" w:customStyle="1" w:styleId="TtuloChar">
    <w:name w:val="Título Char"/>
    <w:basedOn w:val="Fontepargpadro"/>
    <w:link w:val="Ttulo"/>
    <w:rsid w:val="00DC407E"/>
    <w:rPr>
      <w:rFonts w:ascii="Times New Roman" w:eastAsia="Calibri" w:hAnsi="Times New Roman" w:cs="Times New Roman"/>
      <w:b/>
      <w:bCs/>
      <w:sz w:val="24"/>
      <w:szCs w:val="24"/>
      <w:lang w:eastAsia="pt-BR"/>
    </w:rPr>
  </w:style>
  <w:style w:type="paragraph" w:customStyle="1" w:styleId="Monog8ttuloparecer">
    <w:name w:val="Monog_8_título_parecer"/>
    <w:basedOn w:val="Normal"/>
    <w:link w:val="Monog8ttuloparecerChar"/>
    <w:qFormat/>
    <w:rsid w:val="00DC407E"/>
    <w:pPr>
      <w:widowControl w:val="0"/>
      <w:spacing w:line="360" w:lineRule="auto"/>
      <w:contextualSpacing/>
      <w:jc w:val="both"/>
    </w:pPr>
    <w:rPr>
      <w:rFonts w:eastAsia="Calibri"/>
      <w:b/>
      <w:i/>
      <w:sz w:val="24"/>
      <w:szCs w:val="22"/>
    </w:rPr>
  </w:style>
  <w:style w:type="character" w:customStyle="1" w:styleId="Monog8ttuloparecerChar">
    <w:name w:val="Monog_8_título_parecer Char"/>
    <w:link w:val="Monog8ttuloparecer"/>
    <w:rsid w:val="00DC407E"/>
    <w:rPr>
      <w:rFonts w:ascii="Times New Roman" w:eastAsia="Calibri" w:hAnsi="Times New Roman" w:cs="Times New Roman"/>
      <w:b/>
      <w:i/>
      <w:sz w:val="24"/>
      <w:lang w:eastAsia="pt-BR"/>
    </w:rPr>
  </w:style>
  <w:style w:type="paragraph" w:styleId="Textodebalo">
    <w:name w:val="Balloon Text"/>
    <w:basedOn w:val="Normal"/>
    <w:link w:val="TextodebaloChar"/>
    <w:uiPriority w:val="99"/>
    <w:semiHidden/>
    <w:unhideWhenUsed/>
    <w:rsid w:val="00E45FD3"/>
    <w:rPr>
      <w:rFonts w:ascii="Tahoma" w:hAnsi="Tahoma" w:cs="Tahoma"/>
      <w:sz w:val="16"/>
      <w:szCs w:val="16"/>
    </w:rPr>
  </w:style>
  <w:style w:type="character" w:customStyle="1" w:styleId="TextodebaloChar">
    <w:name w:val="Texto de balão Char"/>
    <w:basedOn w:val="Fontepargpadro"/>
    <w:link w:val="Textodebalo"/>
    <w:uiPriority w:val="99"/>
    <w:semiHidden/>
    <w:rsid w:val="00E45FD3"/>
    <w:rPr>
      <w:rFonts w:ascii="Tahoma" w:eastAsia="Times New Roman" w:hAnsi="Tahoma" w:cs="Tahoma"/>
      <w:sz w:val="16"/>
      <w:szCs w:val="16"/>
      <w:lang w:eastAsia="pt-BR"/>
    </w:rPr>
  </w:style>
  <w:style w:type="paragraph" w:styleId="Corpodetexto">
    <w:name w:val="Body Text"/>
    <w:basedOn w:val="Normal"/>
    <w:link w:val="CorpodetextoChar"/>
    <w:uiPriority w:val="99"/>
    <w:semiHidden/>
    <w:unhideWhenUsed/>
    <w:rsid w:val="00FA00A2"/>
    <w:pPr>
      <w:spacing w:after="120"/>
    </w:pPr>
  </w:style>
  <w:style w:type="character" w:customStyle="1" w:styleId="CorpodetextoChar">
    <w:name w:val="Corpo de texto Char"/>
    <w:basedOn w:val="Fontepargpadro"/>
    <w:link w:val="Corpodetexto"/>
    <w:uiPriority w:val="99"/>
    <w:semiHidden/>
    <w:rsid w:val="00FA00A2"/>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FA00A2"/>
    <w:rPr>
      <w:rFonts w:ascii="Arial" w:eastAsia="Times New Roman" w:hAnsi="Arial" w:cs="Times New Roman"/>
      <w:b/>
      <w:kern w:val="28"/>
      <w:sz w:val="28"/>
      <w:szCs w:val="20"/>
      <w:lang w:eastAsia="pt-BR"/>
    </w:rPr>
  </w:style>
  <w:style w:type="paragraph" w:styleId="Recuodecorpodetexto">
    <w:name w:val="Body Text Indent"/>
    <w:basedOn w:val="Normal"/>
    <w:link w:val="RecuodecorpodetextoChar"/>
    <w:uiPriority w:val="99"/>
    <w:semiHidden/>
    <w:unhideWhenUsed/>
    <w:rsid w:val="005F7018"/>
    <w:pPr>
      <w:spacing w:after="120"/>
      <w:ind w:left="283"/>
    </w:pPr>
  </w:style>
  <w:style w:type="character" w:customStyle="1" w:styleId="RecuodecorpodetextoChar">
    <w:name w:val="Recuo de corpo de texto Char"/>
    <w:basedOn w:val="Fontepargpadro"/>
    <w:link w:val="Recuodecorpodetexto"/>
    <w:uiPriority w:val="99"/>
    <w:semiHidden/>
    <w:rsid w:val="005F7018"/>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389887042">
      <w:bodyDiv w:val="1"/>
      <w:marLeft w:val="0"/>
      <w:marRight w:val="0"/>
      <w:marTop w:val="0"/>
      <w:marBottom w:val="0"/>
      <w:divBdr>
        <w:top w:val="none" w:sz="0" w:space="0" w:color="auto"/>
        <w:left w:val="none" w:sz="0" w:space="0" w:color="auto"/>
        <w:bottom w:val="none" w:sz="0" w:space="0" w:color="auto"/>
        <w:right w:val="none" w:sz="0" w:space="0" w:color="auto"/>
      </w:divBdr>
    </w:div>
    <w:div w:id="666514574">
      <w:bodyDiv w:val="1"/>
      <w:marLeft w:val="0"/>
      <w:marRight w:val="0"/>
      <w:marTop w:val="0"/>
      <w:marBottom w:val="0"/>
      <w:divBdr>
        <w:top w:val="none" w:sz="0" w:space="0" w:color="auto"/>
        <w:left w:val="none" w:sz="0" w:space="0" w:color="auto"/>
        <w:bottom w:val="none" w:sz="0" w:space="0" w:color="auto"/>
        <w:right w:val="none" w:sz="0" w:space="0" w:color="auto"/>
      </w:divBdr>
    </w:div>
    <w:div w:id="1023946509">
      <w:bodyDiv w:val="1"/>
      <w:marLeft w:val="0"/>
      <w:marRight w:val="0"/>
      <w:marTop w:val="0"/>
      <w:marBottom w:val="0"/>
      <w:divBdr>
        <w:top w:val="none" w:sz="0" w:space="0" w:color="auto"/>
        <w:left w:val="none" w:sz="0" w:space="0" w:color="auto"/>
        <w:bottom w:val="none" w:sz="0" w:space="0" w:color="auto"/>
        <w:right w:val="none" w:sz="0" w:space="0" w:color="auto"/>
      </w:divBdr>
    </w:div>
    <w:div w:id="1046566320">
      <w:bodyDiv w:val="1"/>
      <w:marLeft w:val="0"/>
      <w:marRight w:val="0"/>
      <w:marTop w:val="0"/>
      <w:marBottom w:val="0"/>
      <w:divBdr>
        <w:top w:val="none" w:sz="0" w:space="0" w:color="auto"/>
        <w:left w:val="none" w:sz="0" w:space="0" w:color="auto"/>
        <w:bottom w:val="none" w:sz="0" w:space="0" w:color="auto"/>
        <w:right w:val="none" w:sz="0" w:space="0" w:color="auto"/>
      </w:divBdr>
    </w:div>
    <w:div w:id="1386904828">
      <w:bodyDiv w:val="1"/>
      <w:marLeft w:val="0"/>
      <w:marRight w:val="0"/>
      <w:marTop w:val="0"/>
      <w:marBottom w:val="0"/>
      <w:divBdr>
        <w:top w:val="none" w:sz="0" w:space="0" w:color="auto"/>
        <w:left w:val="none" w:sz="0" w:space="0" w:color="auto"/>
        <w:bottom w:val="none" w:sz="0" w:space="0" w:color="auto"/>
        <w:right w:val="none" w:sz="0" w:space="0" w:color="auto"/>
      </w:divBdr>
    </w:div>
    <w:div w:id="1500123928">
      <w:bodyDiv w:val="1"/>
      <w:marLeft w:val="0"/>
      <w:marRight w:val="0"/>
      <w:marTop w:val="0"/>
      <w:marBottom w:val="0"/>
      <w:divBdr>
        <w:top w:val="none" w:sz="0" w:space="0" w:color="auto"/>
        <w:left w:val="none" w:sz="0" w:space="0" w:color="auto"/>
        <w:bottom w:val="none" w:sz="0" w:space="0" w:color="auto"/>
        <w:right w:val="none" w:sz="0" w:space="0" w:color="auto"/>
      </w:divBdr>
    </w:div>
    <w:div w:id="157162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657</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dc:creator>
  <cp:lastModifiedBy>aelton</cp:lastModifiedBy>
  <cp:revision>81</cp:revision>
  <cp:lastPrinted>2019-11-06T13:04:00Z</cp:lastPrinted>
  <dcterms:created xsi:type="dcterms:W3CDTF">2018-12-07T13:40:00Z</dcterms:created>
  <dcterms:modified xsi:type="dcterms:W3CDTF">2019-11-22T16:58:00Z</dcterms:modified>
</cp:coreProperties>
</file>